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CONTINUADO</w:t>
      </w:r>
    </w:p>
    <w:p>
      <w:r>
        <w:rPr>
          <w:i/>
          <w:iCs/>
          <w:color w:val="666666"/>
        </w:rPr>
        <w:t xml:space="preserve">PLURALIDADE DE SUJEITOS PASSIVOS</w:t>
      </w:r>
    </w:p>
    <w:p/>
    <w:p>
      <w:r>
        <w:rPr>
          <w:b/>
          <w:bCs/>
        </w:rPr>
        <w:t xml:space="preserve">Julgado em: </w:t>
      </w:r>
      <w:r>
        <w:t xml:space="preserve">26/09/1977</w:t>
      </w:r>
    </w:p>
    <w:p/>
    <w:p>
      <w:r>
        <w:t xml:space="preserve">NÃO COMPARECIMENTO DO QUERELANTE POR SEU ADVOGADO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Incensurável a decisão do nobre julgador de primeira instância,..., em seguida à promoção..., onde foi oportunamente citada a lição de FREDERICO MARQUES: "Se o querelante, por exemplo, não comparece, por intermédio de seu advogado, a uma inquirição de testemunhas, ou, no processo sumário, a audiência de julgamento, dá-se a perempção em conseqüência do "non facere quod debeatur"" ("Elementos de Direito Processual Penal", vol. 3, pág. 159). - Ao querelante, senhor da ação, caberia dar andamento contínuo à mesma, não deixá-la, por exemplo, paralisada durante trinta dias seguidos (art. 60, I, do Código de Processo Penal) e comparecer a todos os atos processuais a que devesse estar presente (item III, do mesmo artigo e Código). - Não atendeu a esta última disposição, apesar de intimado seu ilustre patrono para a audiência de inquirição de testemunhas do Querelado, Recorrido (...). - A alegação de que a intimação deveria se fazer na sua própria pessoa e não na de seu advogado é inaceitável, não só porque se tratava de ato onde obrigatoriamente se teria de fazer representar por profissional habilitado, como, também, e principalmente, porque dispensável era até qualquer intimação, já que ao promovente da ação penal, interessado no seu curso e desfecho, cabia estar presente à prática do ato determinado pelo Juízo. - Por esses fundamentos, negou-se provimento ao recurso. Julgado em 27-09-1977 Arquivo do Ementário Forense, TA/210 EMENTÁRIO FORENSE. Dezembro, 1979. Ano XXXI. Nº 373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queixa-crime, julga-se extinta a punibilidade do recorrido pela perempção, diante do não comparecimento do querelante a instrução, por intermédio de seu advogado, regularmente intimado, acarretando a perda do direito da ação. (Ementa modificada pelo EMENTÁRIO FORENSE)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2026-07-28T00:30:58.437Z</dcterms:created>
  <dcterms:modified xsi:type="dcterms:W3CDTF">2026-07-28T00:30:58.437Z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