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PLURALIDADE DE SUJEITOS PASSIVOS</w:t>
      </w:r>
    </w:p>
    <w:p/>
    <w:p>
      <w:r>
        <w:rPr>
          <w:b/>
          <w:bCs/>
        </w:rPr>
        <w:t xml:space="preserve">Julgado em: </w:t>
      </w:r>
      <w:r>
        <w:t xml:space="preserve">03/04/1978</w:t>
      </w:r>
    </w:p>
    <w:p/>
    <w:p>
      <w:r>
        <w:t xml:space="preserve">PROCESSO QUE SE INICIA POR PORTARIA OU AUTO DE PRISÃO EM FLAGRANTE — CONTAGEM DO ANTERIOR AO FEITO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Diante do enunciado na Súmula nº 146 (*), teria, sem dúvida, ocorrido a prescrição pela pena "in concreto", eis que o fato (o processo teve início mediante portaria) à data da sentença fluíram mais de dois anos, quando a pena foi de dois meses e dez dias de detenção). - Acontece que a Lei nº 6.416/77, alterando o direito positivo até então vigente, acrescentou segundo parágrafo do art. 110 do Código Penal, "verbis": "A prescrição de que trata o parágrafo anterior importa, tão somente, em renúncia do Estado à pretensão punitiva, não podendo, em qualquer hipótese, ter como termo data anterior à do recebimento da denúncia". - Uma vez, porém, que, no caso presente, o processo começou por portaria, não cabe a restrição contida na parte final do novo parágrafo, que fala em denúncia; mas, ainda que coubesse, do recebimento da portaria decorreu com sobra o prazo de dois anos. - Conseqüentemente, mantida a sentença, decreta-se a extinção da punibilidade, pela prescrição à pretensão executória, face à retrooperância da pena concretizada. Julgado em 04-04-1978 Jurisprudência Catarinense. 1º Semestre, 1978 - Nsº XIX/XX - Pág. 448 (*) "A prescrição da ação penal regula-se pela pena concretizada na sentença, quando não há recurso da acusação." ("E.F.", Nº 192, st. PENA "IN CONCRETO"). EMENTÁRIO FORENSE. Dezembro, 1979. Ano XXXI. Nº 373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Interpretação do parágrafo 2º, do art. 110, do Código Penal. - Se o processo teve início por meio de portaria ou auto de prisão em flagrante, não por denúncia, conta-se para o fim prescricional o prazo anterior a deflagração do feito. - Não se aplica, em tal caso, a parte final do 2º parágrafo do art. 110.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2026-07-28T00:24:41.811Z</dcterms:created>
  <dcterms:modified xsi:type="dcterms:W3CDTF">2026-07-28T00:24:41.811Z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