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Julgado em: </w:t>
      </w:r>
      <w:r>
        <w:t xml:space="preserve">11/01/1978</w:t>
      </w:r>
    </w:p>
    <w:p/>
    <w:p>
      <w:r>
        <w:t xml:space="preserve">CASO DE LESÃO CORPORAL — QUANDO POR ELE RESPONDE O AGENTE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Tudo indica que teve o recorrente de princípio usado do direito que lhe assegura a lei, mas a verdade é que excedeu-se voluntariamente tanto que uma das testemunhas esclarece que esbarrando no acusado em sua fuga, este "parou de correr e lhe aplicou um golpe com uma navalha, atingindo o cotovelo e peito, saindo correndo" ... - Ora: "Se o excesso é conscientemente querido, responde o apelante por crime doloso, pouco importando o estado inicial da legítima defesa." (Rev. For. v. 107, pág. 12) - Ora, sobre ser a navalha induvidosamente do apelante que se revela só por isso como elemento perigoso, as circunstâncias do excesso estão a demonstrar que deliberadamente quis agredir todas as pessoas que dele se aproximavam tanto que feriu três, nenhum deles supostamente agressor mas apenas participantes da festa. - Por esses motivos reforma-se a decisão recorrida. Julgado em 12-01-1978 Arquivo do Ementário Forense, TA/134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Lesões corporais causadas, ainda que inicialmente, em legítima defesa, se há excesso culposo e esse excesso é desejado, responde o réu por crime doloso.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2026-07-28T00:27:41.654Z</dcterms:created>
  <dcterms:modified xsi:type="dcterms:W3CDTF">2026-07-28T00:27:41.654Z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