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Recurso: </w:t>
      </w:r>
      <w:r>
        <w:t xml:space="preserve">REsp 246.479/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>
      <w:r>
        <w:rPr>
          <w:b/>
          <w:bCs/>
        </w:rPr>
        <w:t xml:space="preserve">Julgado em: </w:t>
      </w:r>
      <w:r>
        <w:t xml:space="preserve">13/12/2001</w:t>
      </w:r>
    </w:p>
    <w:p/>
    <w:p>
      <w:r>
        <w:t xml:space="preserve">PROGRESSÃO DO REGIME DE CUMPRIMENTO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 foi condenado pela prática de estupro e atentado violento ao pudor. - Esta Turma vem entendendo, reiteradamente, que os referidos crimes são considerados hediondos ainda que na forma básica, ou seja, não há a necessidade de ter como resultado lesão corporal de natureza grave ou morte. Nesse diapasão, destaco trecho do voto do eminente Ministro Felix Fischer, na relatoria do REsp n° 246.479/GO, DJU de 15/10/2001: "Primeiramente, é de se crer pela própria redação utilizada nos incisos do art. 1º da Lei n° 8.072/90, que o estupro real e o atentado violento ao pudor real (vale sublinhar, real no sentido de violência ou grave ameaça) estão ali arrolados, tanto na forma básica como na foram qualificada. O "e", objeto da "quaestio" ("art. 213 e sua combinação com o art. 223, caput e parágrafo único"), está empregado com a função de conjunção coordenativa aditiva, prestando-se a ligar palavras que guardam independência entre si ou, especificamente, evidenciando que tanto o estupro, na forma fundamental quanto o estupro qualificado, são delitos hediondos. E, contextualmente, é de se observar que na extorsão há referência exclusiva da forma qualificada (v. inciso III). No roubo (inciso II) e na epidemia (inciso VII), v.g., idem. Por que, então, no estupro e no atentado violento ao pudor a deslocada busca por solução diversa que, a par de manifesta transgressão de interpretação literal, destoa do contexto legal? Inexiste fundamento jurídico para tanto. Na linha ora abraçada tem-se: Resp 160.264-PR, 5ª Turma-STJ, de minha relatoria, DJU de 11/05/98 (com diversos precedentes indicados)." - O Plenário do Pretório Excelso, aliás, em recente decisão, considerou hediondo os crimes de estupro e atentado violento ao pudor tanto na forma simples como na qualificada, incluindo também aqueles praticados mediante violênci a presumida. - Tal posicionamento, abraçado pelo Colendo Supremo Tribunal Federal (cf. HC nº 81.288/SC, Rel. Ministro CARLOS VELLOSO, julgado em 14/12/2001, Informativo n° 255/STF) vem, a partir de então, também, sendo adotado por esta E. Turma julgadora. A propósito, trago à colação, o v. aresto proferido por ocasião do julgamento do HC nº 19.301/PR, DJU de 08/04/2002, de relatoria do eminente Ministro FELIX FISCHER, que restou assim ementado: "PROCESSUAL PENAL. HABEAS CORPUS. ATENTADO VIOLENTO AO PUDOR. VIOLÊNCIA FICTA. REGIME DE EXECUÇÃO. Ressalvado entendimento do relator e seguindo o novo entendimento do Pleno do Pretório Excelso (Informativo 255), o atentado violento ao pudor, na forma básica, o que inclui o caso de violência presumida, é crime hediondo, incidindo, aí então, a regra inserida no art. 2º, § 1º da Lei nº 8.072/90. Writ denegado." - destaquei. - Seguindo, pois, a orientação aqui firmada e consoante posicionamento esposado pelo Colendo Supremo Tribunal Federal, entendo que, naqueles crimes, impõe-se que a pena seja cumprida, necessariamente, em regime fechado. - Por tais fundamentos, conheço do recurso e lhe dou provimento para que o regime de cumprimento de pena seja o integralmente fechado, sendo vedada a progressão. - É como voto. Ac. de 19-11-2002 DJ de 17-02-2003, pág. 354 (Reg. nº 2002/0091827-4) Arquivo do EMFOR, STJ/N 5231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hediondos ou equiparados é inviável a progressão de regime prisional.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2026-10-26T04:56:13.032Z</dcterms:created>
  <dcterms:modified xsi:type="dcterms:W3CDTF">2026-10-26T04:56:13.032Z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