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43.239-</w:t>
      </w:r>
    </w:p>
    <w:p/>
    <w:p>
      <w:r>
        <w:t xml:space="preserve">ACÓRDÃO DE TURMA OU SEÇÃO QUE NÃO MAIS TENHA COMPETÊNCIA PARA A MATÉRIA NELES VERSADA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se presta a justificar embargos de divergência o dissídio com acórdão de Turma ou Seção que não mais tenha competência para a matéria neles versada. Referência CPC, ART. 546, I. EREsp 43.239-SP (CE 08.06.95 - DJ 27.05.96) EREsp 50.442-SP (CE 10.08.95 - DJ 04.09.95) EREsp 35.314-SP (CE 10.08.95 - DJ 11.09.95) AgRg no EREsp 42.280-RJ (CE 26.10.95 - DJ 27.11.95) DJ 27.5.96, Pág. 18030 Arquivo do EMFOR EMFOR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2026-07-27T23:31:16.667Z</dcterms:created>
  <dcterms:modified xsi:type="dcterms:W3CDTF">2026-07-27T23:31:16.667Z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