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MEDIDA DE SEGURANÇA</w:t>
      </w:r>
    </w:p>
    <w:p>
      <w:r>
        <w:rPr>
          <w:i/>
          <w:iCs/>
          <w:color w:val="666666"/>
        </w:rPr>
        <w:t xml:space="preserve">PRESUNÇÃO DE PERICULOSIDADE</w:t>
      </w:r>
    </w:p>
    <w:p/>
    <w:p>
      <w:r>
        <w:rPr>
          <w:b/>
          <w:bCs/>
        </w:rPr>
        <w:t xml:space="preserve">Julgado em: </w:t>
      </w:r>
      <w:r>
        <w:t xml:space="preserve">17/10/1977</w:t>
      </w:r>
    </w:p>
    <w:p/>
    <w:p>
      <w:r>
        <w:t xml:space="preserve">QUANDO OCORRE — NECESSIDADE DE QUE TENHA SIDO INSTAURADA AÇÃO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do art. 60, I, do C. P. Penal, foi assim julgada pelo acórdão agora discutido (...): - É preciso que se acentue, desde logo, que só se dá a perempção da ação penal, que se inicia com a queixa ou denúncia. - Ora, se a queixa-crime foi oferecida em 14 de fevereiro de 1973, o prazo fluído desde o dia em que o querelante teve conhecimento do fato, oficialmente 16 de novembro de 1972, e com probabilidade setembro ou outubro do mesmo ano, jamais poderia acarretar perempção, causa de extinção da punibilidade que só se entende com a ação penal. Esta, com efeito, só foi instaurada em 14 de fevereiro de 1973: a partir daí, é que poderia haver perempção, nos termos do inciso I, do art. 60 do Código de Processo Penal. - Desprezo, por isso mesmo e "data venia", a preliminar de extinção da punibilidade. - Concluo da razão acima transcrita que deve ser afastado o argumento de que perimiu a ação penal, pois não transcorreu o prazo fixado nessa regra; assim, não é admissível haja sido ela ofendida, como sem razão afirma o Recorrente. Julgado em 18-10-1977 Revista Trimestral de Jurisprudência. Março, 1978 - Vol. 83 - Pág. 938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artigo 60, I, do Código de Processo Penal só se dá a perempção quando instaurada a ação penal.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2026-07-28T01:44:06.569Z</dcterms:created>
  <dcterms:modified xsi:type="dcterms:W3CDTF">2026-07-28T01:44:06.569Z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