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>
      <w:r>
        <w:rPr>
          <w:b/>
          <w:bCs/>
        </w:rPr>
        <w:t xml:space="preserve">Julgado em: </w:t>
      </w:r>
      <w:r>
        <w:t xml:space="preserve">17/10/1977</w:t>
      </w:r>
    </w:p>
    <w:p/>
    <w:p>
      <w:r>
        <w:t xml:space="preserve">QUANDO OCORRE — NECESSIDADE DE QUE TENHA SIDO INSTAURADA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do art. 60, I, do C. P. Penal, foi assim julgada pelo acórdão agora discutido (...): - É preciso que se acentue, desde logo, que só se dá a perempção da ação penal, que se inicia com a queixa ou denúncia. - Ora, se a queixa-crime foi oferecida em 14 de fevereiro de 1973, o prazo fluído desde o dia em que o querelante teve conhecimento do fato, oficialmente 16 de novembro de 1972, e com probabilidade setembro ou outubro do mesmo ano, jamais poderia acarretar perempção, causa de extinção da punibilidade que só se entende com a ação penal. Esta, com efeito, só foi instaurada em 14 de fevereiro de 1973: a partir daí, é que poderia haver perempção, nos termos do inciso I, do art. 60 do Código de Processo Penal. - Desprezo, por isso mesmo e "data venia", a preliminar de extinção da punibilidade. - Concluo da razão acima transcrita que deve ser afastado o argumento de que perimiu a ação penal, pois não transcorreu o prazo fixado nessa regra; assim, não é admissível haja sido ela ofendida, como sem razão afirma o Recorrente. Julgado em 18-10-1977 Revista Trimestral de Jurisprudência. Março, 1978 - Vol. 83 - Pág. 938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artigo 60, I, do Código de Processo Penal só se dá a perempção quando instaurada a ação penal.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2026-10-26T04:54:16.297Z</dcterms:created>
  <dcterms:modified xsi:type="dcterms:W3CDTF">2026-10-26T04:54:16.297Z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