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NO AUTO DO PROCESSO</w:t>
      </w:r>
    </w:p>
    <w:p>
      <w:r>
        <w:rPr>
          <w:i/>
          <w:iCs/>
          <w:color w:val="666666"/>
        </w:rPr>
        <w:t xml:space="preserve">PETIÇÃO DE INTERPOSIÇÃO</w:t>
      </w:r>
    </w:p>
    <w:p/>
    <w:p/>
    <w:p>
      <w:r>
        <w:t xml:space="preserve">RECURSO INTERPOSTO — INTIMAÇÃO DO RÉU PARA OFERECER CONTRA-RAZÕES - FALTA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nulidade a falta de intimação do denunciado para oferecer contra-razões ao recurso interposto da rejeição da denúncia, não a suprindo a nomeação de defensor dativo. Legislação: - CF, art. 5º, LV; - CPP, art. 588 Julgados: RHC 63.979, RM, 1ª T, 2.5.86, DJU de 30.5.86 HC 67.755, CM, 1ª T, 26.6.90, DJU de 11.9.92, RTJ 142/477 HC 75.871, IG, 1ª, 18.8.98, DJU de 9.10.98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2026-07-28T00:26:36.240Z</dcterms:created>
  <dcterms:modified xsi:type="dcterms:W3CDTF">2026-07-28T00:26:36.240Z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