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FLUÊNCIA — A PARTIR DE QUANDO</w:t>
      </w:r>
    </w:p>
    <w:p/>
    <w:p>
      <w:pPr>
        <w:pStyle w:val="Heading2"/>
      </w:pPr>
      <w:r>
        <w:rPr>
          <w:b/>
          <w:bCs/>
        </w:rPr>
        <w:t xml:space="preserve">Ementa</w:t>
      </w:r>
    </w:p>
    <w:p>
      <w:r>
        <w:t xml:space="preserve">No processo penal, contam-se os prazos da data da intimação, e não da juntada aos autos do mandado ou da carta precatória ou de ordem. Julgados: HC 73.971, red. p/ acórdão IG, 1ª T, 11.6.96, DJU de 19.9.97 HC 80.666, SS, 1ª T, 13.3.2001, DJU de 22.6.2001 HC 68.113, CM, 1ª T, 11.9.90, DJU de 7.3.91 HC 69.447, IG, 1ª T, 20.10.92, DJU de 4.12.92 HC 76.256, NS, 2ª T, 5.5.98, DJU de 15.12.2000 RHC 80.568, MA, 1ª T, 10.4.2001, DJU de 14.9.2001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2026-07-28T07:02:06.421Z</dcterms:created>
  <dcterms:modified xsi:type="dcterms:W3CDTF">2026-07-28T07:02:06.421Z</dcterms:modified>
</cp:coreProperties>
</file>

<file path=docProps/custom.xml><?xml version="1.0" encoding="utf-8"?>
<Properties xmlns="http://schemas.openxmlformats.org/officeDocument/2006/custom-properties" xmlns:vt="http://schemas.openxmlformats.org/officeDocument/2006/docPropsVTypes"/>
</file>