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r>
        <w:rPr>
          <w:b/>
          <w:bCs/>
        </w:rPr>
        <w:t xml:space="preserve">Recurso: </w:t>
      </w:r>
      <w:r>
        <w:t xml:space="preserve">RE 227.843</w:t>
      </w:r>
    </w:p>
    <w:p/>
    <w:p>
      <w:r>
        <w:t xml:space="preserve">APLICAÇÃO — QUANDO SE LEGITIMA</w:t>
      </w:r>
    </w:p>
    <w:p/>
    <w:p>
      <w:pPr>
        <w:pStyle w:val="Heading2"/>
      </w:pPr>
      <w:r>
        <w:rPr>
          <w:b/>
          <w:bCs/>
        </w:rPr>
        <w:t xml:space="preserve">Ementa</w:t>
      </w:r>
    </w:p>
    <w:p>
      <w:r>
        <w:t xml:space="preserve">A lei penal mais grave aplica-se ao crime continuado ou ao crime permanente, se a sua vigência é anterior à cessação da continuidade ou da permanência. Julgados: Extr. 714, SP, Plenário, 13.11.97, DJU de 12.12.97 HC 76.680, IG, 1ª T, 28.4.98, DJU de 12.6.98 RE 227.843, OG, 1ª T, 2.10.98, DJU de 23.4.99, RTJ 170/714 HC 74.250, MAM, 2ª T, 8.10.96, DJU de 29.11.96 HC 77.473, MAM, 2ª T, 17.8.98, DJU de 2.10.98 HC 76.382, CV, 2ª T, 29.9.98 (acórdão pendente de publicação, v. Informativo 125) HC 76.978, MC, 2ª T, 29.9.98, DJU de 19.2.99 HC 80.540, SP, 1ª T, 28.11.2000, DJU de 2.2.2001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2026-07-28T02:14:19.448Z</dcterms:created>
  <dcterms:modified xsi:type="dcterms:W3CDTF">2026-07-28T02:14:19.448Z</dcterms:modified>
</cp:coreProperties>
</file>

<file path=docProps/custom.xml><?xml version="1.0" encoding="utf-8"?>
<Properties xmlns="http://schemas.openxmlformats.org/officeDocument/2006/custom-properties" xmlns:vt="http://schemas.openxmlformats.org/officeDocument/2006/docPropsVTypes"/>
</file>