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IMPOSIÇÃO — QUANDO SE LEGITIMA</w:t>
      </w:r>
    </w:p>
    <w:p/>
    <w:p>
      <w:pPr>
        <w:pStyle w:val="Heading2"/>
      </w:pPr>
      <w:r>
        <w:rPr>
          <w:b/>
          <w:bCs/>
        </w:rPr>
        <w:t xml:space="preserve">Ementa</w:t>
      </w:r>
    </w:p>
    <w:p>
      <w:r>
        <w:t xml:space="preserve">A imposição do regime de cumprimento mais severo do que a pena aplicada permitir exige motivação idônea. Legislação: - CP, art. 33, § 2º, c Julgados: HC 69.929, MA, 1ª T, 2.3.93, DJU de 26.3.93, RTJ 149/494 HC 70.650, CM, 1ª T, 19.10.93, DJU de 11.2.94, RTJ 154/103 HC 70.998, SP, Plenário, 17.12.93, DJU de 15.4.94, RTJ 155/530 HC 70.904, SP, 1ª T, 22.3.948, DJU de 24.6.94, RTJ 157/143 HC 70.784, SP, 1ª T, 14.6.94, DJU de 16.9.94, RTJ 155/832 HC 70.662, CM, 1ª T, 21.6.94, DJU de 4.11.94 HC 71.190, SP, 1ª T, 7.2.95, DJU de 19.5.95, RTJ 155/233 HC 72.106, CM, 1ª T, 21.2.95, DJU de 16.6.95 HC 72.381, SP, 1ª T, 9.5.95, DJU de 9.6.95 HC 72.589, SS, 1ª T, 13.6.95, DJU de 18.8.95 HC 72.937, IG, 1ª T, 31.10.95, DJU de 1º.12.95 HC 73.068, MC, 2ª T, 28.11.95, DJU de 16.2.96 HC 73.174, FR, 2ª T, 27.2.96, DJU de 17.5.96, RTJ 160/972 HC 74.896, NS, 2ª T, 29.4.97, DJU de 27.6.97, RTJ 163/755 HC 77.613, red. p/ acórdão MA, Plenário, 22.10.98, DJU de 14.4.2000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2026-07-28T02:14:17.939Z</dcterms:created>
  <dcterms:modified xsi:type="dcterms:W3CDTF">2026-07-28T02:14:17.939Z</dcterms:modified>
</cp:coreProperties>
</file>

<file path=docProps/custom.xml><?xml version="1.0" encoding="utf-8"?>
<Properties xmlns="http://schemas.openxmlformats.org/officeDocument/2006/custom-properties" xmlns:vt="http://schemas.openxmlformats.org/officeDocument/2006/docPropsVTypes"/>
</file>