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/>
    <w:p>
      <w:r>
        <w:t xml:space="preserve">ART. 309 DO CÓDIGO DE TRÂNSITO — APLICAÇÃO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309 do Código de Trânsito Brasileiro, que reclama decorra do fato perigo de dano, derrogou o art. 32 da Lei das Contravenções Penais no tocante à direção sem habilitação em vias terrestres. Legislação: - CTB, arts. 309 e 161 Julgados: RHC 80.362, IG, Plenário, 14.2.2001, DJU de 4.10.2002 Súmulas da Jurisprudência Predominante do Supremo Tribunal Federal - ADENDO Nº 7 - Aprovado pelo Tribunal Pleno, na sessão de 24 de setembro de 2003 e que se publica no Diário da Justiça, por 3 dias consecutivos, nos termos do § 3º do art. 102 do Regimento Interno. EMENTÁRIO FORENSE. Dezembro, 2003. Ano LV. Nº 661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2026-07-28T00:05:29.500Z</dcterms:created>
  <dcterms:modified xsi:type="dcterms:W3CDTF">2026-07-28T00:05:29.500Z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