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HABEAS CORPUS PREVENTIVO</w:t>
      </w:r>
    </w:p>
    <w:p/>
    <w:p>
      <w:r>
        <w:rPr>
          <w:b/>
          <w:bCs/>
        </w:rPr>
        <w:t xml:space="preserve">Julgado em: </w:t>
      </w:r>
      <w:r>
        <w:t xml:space="preserve">18/07/1977</w:t>
      </w:r>
    </w:p>
    <w:p/>
    <w:p>
      <w:r>
        <w:t xml:space="preserve">FLUÊNCIA DO PRAZO POSTERIORMENTE A ESTA — SE É POSSÍVEL PLEITEÁ-LA NO ÂMBITO DO HABEAS CORPUS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Bel. A.R.A. impetra ordem de "habeas corpus" contra o MM Juiz da comarca de Pindamonhangaba, sustentando que J.A.F.A; ali condenado a três anos e um dia de reclusão, por estupro, está sofrendo constrangimento em sua liberdade de locomoção, uma vez que fluiu o lapso prescricional, nos termos da SÚMULA 146 ( * ) do Pretório Excelso. - O MM Juiz deixou de prestar informações determinando a remessa dos autos da ação penal, opinando a douta Procuradoria-Geral da Justiça pelo não conhecimento da impetração. - Embora o impetrante a miúde se refira à SÚMULA Nº 146 do Pretório Excelso,a questão nada tem a ver com o verbete que assim se identifica, conforme aliás, já deixou claro o acórdão de recurso de "habeas corpus" nº 132.381, onde se demonstrou a inocorrência de prescrição da ação penal. - Trata-se, na verdade, de postulação relacionada com a condenação, consistente na perda da eficácia da pretensão executória, pelo decurso do prazo prescricional. - O reconhecimento da extinção da punibilidade com esse fundamento, pressupõe aprofundada averiguação probatória, perquirindo-se a propósito de saber se o condenado é primário ou reincidente, bem como se houve ou não incidência das causas interruptivas previstas no art. 117, ns. V e VI, do CP. - Por esta razão é que se tem entendido que a prescrição de condenação deve ser requerida em primeira instância, facultando-se às partes a produção das provas necessárias, o que não é viável no âmbito exíguo do "habeas corpus". - Deve portanto o acusado pleitear o reconhecimento da extinção da punibilidade ao MM. Juízo de primeiro grau. - Cumpre, porém, observar que a simples remessa dos autos não exime a autoridade impetrada de prest ar informações, consignando-se que, no caso, o processo veio a ter a esta instância sem ao menos fazer-se acompanhar de um ofício de remessa, o que era o mínimo que se poderia exigir. - Com essa observação, não conhecem do pedido. Julgado em 19-07-1977 Revista dos Tribunais. Dezembro, 1977 - Vol. 506 - Pág. 328. (*) "A PRESCRIÇÃO DA AÇÃO PENAL REGULA-SE PELA PENA CONCRETIZADA NA SENTENÇA, QUANDO NÃO HÁ RECURSO DA ACUSAÇÃO" ("EMENTÁRIO FORENSE", Nº 192). EMENTÁRIO FORENSE. AGOSTO, 1978. ANO XXX. Nº 357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prescrição da condenação deve ser requerida em primeira instância, facultando-se às partes a produção das provas necessárias, o que não é viável no âmbito exíguo do "habeas corpus".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2026-07-28T04:26:19.080Z</dcterms:created>
  <dcterms:modified xsi:type="dcterms:W3CDTF">2026-07-28T04:26:19.080Z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