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/>
    <w:p>
      <w:r>
        <w:t xml:space="preserve">RESIDÊNCIA FIXA — BEM DE RAÍZ E PROFISSÃO DEFINIDA - SE POR SI SÓ A ELIDEM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outro lado, é ressabido que bons antecedentes, residência fixa, bem de raiz e profissão definida, por si sós, não constituem motivos bastantes para ilidirem o decreto de prisão provisória, quando este se reveste dos elementos necessários, o qual não é obstado pela presunção da inocência. - Finalmente, questões outras, tais como, que o paciente agiu de boa-fé e que há necessidade de uma melhor apuração quanto à materialidade do delito, não podem ser conhecidas, na via estreita do "writ", porque exigem análise aprofundada de prova. - A soma desses detalhes, dessas circunstâncias, aponta para a necessidade da prisão decretada e de seu acerto, motivos por que DENEGO A ORDEM. Ac. de 27-08-2002 DJMG de 13-09-2002 Jurisprudência Mineira. Out. a Dez., 2002. Vol. 162. Pág. 711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Bons antecedentes, residência fixa, bem de raiz e profissão definida, por si sós, não constituem motivos bastantes para ilidirem o decreto de prisão provisória, quando este se reveste dos elementos necessários, o qual não é o obstado pela presunção da inocência.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2026-07-28T00:32:24.328Z</dcterms:created>
  <dcterms:modified xsi:type="dcterms:W3CDTF">2026-07-28T00:32:24.328Z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