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02. CONVENÇÃO DAS NAÇÕES UNIDAS CONTRA O CRIME ORGANIZADO TRANSNACIONAL — PROMULGA</w:t>
      </w:r>
    </w:p>
    <w:p/>
    <w:p>
      <w:pPr>
        <w:pStyle w:val="Heading2"/>
      </w:pPr>
      <w:r>
        <w:rPr>
          <w:b/>
          <w:bCs/>
        </w:rPr>
        <w:t xml:space="preserve">Ementa</w:t>
      </w:r>
    </w:p>
    <w:p>
      <w:r>
        <w:t xml:space="preserve">Artigo 14 Disposição do produto do crime ou dos bens confiscados 1. Um Estado Parte que confisque o produto do crime ou bens, em aplicação do Artigo 12 ou do parágrafo 1 do Artigo 13 da presente Convenção, disporá deles de acordo com o seu direito interno e os seus procedimentos administrativos. 2. Quando os Estados Partes agirem a pedido de outro Estado Parte em aplicação do Artigo 13 da presente Convenção, deverão, na medida em que o permita o seu direito interno e se tal lhes for solicitado, considerar prioritariamente a restituição do produto do crime ou dos bens confiscados ao Estado Parte requerente, para que este último possa indenizar as vítimas da infração ou restituir este produto do crime ou estes bens aos seus legítimos proprietários. 3. Quando um Estado Parte atuar a pedido de um outro Estado Parte em aplicação dos Artigos 12 e 13 da presente Convenção, poderá considerar especialmente a celebração de acordos ou protocolos que prevejam: a) Destinar o valor deste produto ou destes bens, ou os fundos provenientes da sua venda, ou uma parte destes fundos, à conta criada em aplicação da alínea c) do parágrafo 2 do Artigo 30 da presente Convenção e a organismos intergovernamentais especializados na luta contra a criminalidade organizada; b) Repartir com outros Estados Partes, sistemática ou casuisticamente, este produto ou estes bens, ou os fundos provenientes da respectiva venda, em conformidade com o seu direito interno ou os seus procedimentos administrativos. Artigo 15 Jurisdição 1. Cada Estado Parte adotará as medidas necessárias para estabelecer a sua competência jurisdicional em relação às infrações enunciadas nos Artigos 5, 6, 8 e 23 da presente Convenção, nos seguintes casos: a) Quando a infração for cometida no seu território; ou b) Quando a infração for cometida a bordo de um navio que arvore a sua bandeira ou a bordo de uma aeronave matriculada em conformidade com o seu direito interno no momento em que a referida infração for cometida. 2. Sem prejuízo do disposto no Artigo 4 da presente Convenção, um Estado Parte poderá igualmente estabelecer a sua competência jurisdicional em relação a qualquer destas infrações, nos seguintes casos: a) Quando a infração for cometida contra um dos seus cidadãos; b) Quando a infração for cometida por um dos seus cidadãos ou por uma pessoa apátrida residente habitualmente no seu território; ou c) Quando a infração for: i) Uma das previstas no parágrafo 1 do Artigo 5 da presente Convenção e praticada fora do seu território, com a intenção de cometer uma infração grave no seu território; ii) Uma das previstas no inciso ii) da alínea b) do parágrafo 1 do Artigo 6 da presente Convenção e praticada fora do seu território com a intenção de cometer, no seu território, uma das infrações enunciadas nos incisos i) ou ii) da alínea a) ou i) da alínea b) do parágrafo 1 do Artigo 6 da presente Convenção. 3. Para efeitos do parágrafo 10 do Artigo 16 da presente Convenção, cada Estado Parte adotará as medidas necessárias para estabelecer a sua competência jurisdicional em relação às infrações abrangidas pela presente Convenção quando o presumível autor se encontre no seu território e o Estado Parte não o extraditar pela única razão de se tratar de um seu cidadão. 4. Cada Estado Parte poderá igualmente adotar as medidas necessárias para estabelecer a sua competência jurisdicional em relação às infrações abrangidas pela presente Convenção quando o presumível autor se encontre no seu território e o Estado Parte não o extraditar. 5. Se um Estado Parte que exerça a sua competência jurisdicional por força dos parágrafos 1 e 2 do presente Artigo tiver sido notificado, ou por qualquer outra forma tiver tomado conhecimento, de que um ou vários Estados Partes estão a efetuar uma investigação ou iniciaram diligências ou um processo judicial tendo por objeto o mesmo ato, as autoridades competentes destes Estados Partes dev erão consultar-se, da forma que for mais conveniente, para coordenar as suas ações. 6. Sem prejuízo das normas do direito internacional geral, a presente Convenção não excluirá o exercício de qualquer competência jurisdicional penal estabelecida por um Estado Parte em conformidade com o seu direito interno. Artigo 16 Extradição 1. O presente Artigo aplica-se às infrações abrangidas pela presente Convenção ou nos casos em que um grupo criminoso organizado esteja implicado numa infração prevista nas alíneas a) ou b) do parágrafo 1 do Artigo 3 e em que a pessoa que é objeto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2026-07-28T00:16:19.990Z</dcterms:created>
  <dcterms:modified xsi:type="dcterms:W3CDTF">2026-07-28T00:16:19.990Z</dcterms:modified>
</cp:coreProperties>
</file>

<file path=docProps/custom.xml><?xml version="1.0" encoding="utf-8"?>
<Properties xmlns="http://schemas.openxmlformats.org/officeDocument/2006/custom-properties" xmlns:vt="http://schemas.openxmlformats.org/officeDocument/2006/docPropsVTypes"/>
</file>