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ORGANIZADO TRANSNACIONAL</w:t>
      </w:r>
    </w:p>
    <w:p>
      <w:r>
        <w:rPr>
          <w:i/>
          <w:iCs/>
          <w:color w:val="666666"/>
        </w:rPr>
        <w:t xml:space="preserve">DECRETO 5.016 DE 12-03-2004</w:t>
      </w:r>
    </w:p>
    <w:p/>
    <w:p>
      <w:r>
        <w:rPr>
          <w:b/>
          <w:bCs/>
        </w:rPr>
        <w:t xml:space="preserve">Recurso: </w:t>
      </w:r>
      <w:r>
        <w:t xml:space="preserve">re 12</w:t>
      </w:r>
    </w:p>
    <w:p/>
    <w:p>
      <w:r>
        <w:t xml:space="preserve">04. CONVENÇÃO DAS NAÇÕES UNIDAS CONTRA O CRIME ORGANIZADO TRANSNACIONAL — PROMULGA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Artigo 27 Cooperação entre as autoridades competentes para a aplicação da lei 1. Os Estados Partes cooperarão estreitamente, em conformidade com os seus respectivos ordenamentos jurídicos e administrativos, a fim de reforçar a eficácia das medidas de controle do cumprimento da lei destinadas a combater as infrações previstas na presente Convenção. Especificamente, cada Estado Parte adotará medidas eficazes para: a) Reforçar ou, se necessário, criar canais de comunicação entre as suas autoridades, organismos e serviços competentes, para facilitar a rápida e segura troca de informações relativas a todos os aspectos das infrações previstas na presente Convenção, incluindo, se os Estados Partes envolvidos o considerarem apropriado, ligações com outras atividades criminosas; b) Cooperar com outros Estados Partes, quando se trate de infrações previstas na presente Convenção, na condução de investigações relativas aos seguintes aspectos: i) Identidade, localização e atividades de pessoas suspeitas de implicação nas referidas infrações, bem como localização de outras pessoas envolvidas; ii) Movimentação do produto do crime ou dos bens provenientes da prática destas infrações; iii) Movimentação de bens, equipamentos ou outros instrumentos utilizados ou destinados a ser utilizados na prática destas infrações; c) Fornecer, quando for caso disso, os elementos ou as quantidades de substâncias necessárias para fins de análise ou de investigação; d) Facilitar uma coordenação eficaz entre as autoridades, organismos e serviços competentes e promover o intercâmbio de pessoal e de peritos, incluindo, sob reserva da existência de acordos ou protocolos bilaterais entre os Estados Partes envolvidos, a designação de agentes de ligação; e) Trocar informações com outros Estados Partes sobre os meios e métodos específicos utilizados pelos grupos criminosos organizados, incluindo, se for caso disso, sobre os itinerários e os meios de transporte, bem com o o uso de identidades falsas, de documentos alterados ou falsificados ou outros meios de dissimulação das suas atividades; f) Trocar informações e coordenar as medidas administrativas e outras tendo em vista detectar o mais rapidamente possível as infrações previstas na presente Convenção. 2. Para dar aplicação à presente Convenção, os Estados Partes considerarão a possibilidade de celebrar acordos ou protocolos bilaterais ou multilaterais que prevejam uma cooperação direta entre as suas autoridades competentes para a aplicação da lei e, quando tais acordos ou protocolos já existam, considerarão a possibilidade de os alterar. Na ausência de tais acordos entre os Estados Partes envolvidos, estes últimos poderão basear-se na presente Convenção para instituir uma cooperação em matéria de detecção e repressão das infrações previstas na presente Convenção. Sempre que tal se justifique, os Estados Partes utilizarão plenamente os acordos ou protocolos, incluindo as organizações internacionais ou regionais, para intensificar a cooperação entre as suas autoridades competentes para a aplicação da lei. 3. Os Estados Partes procurarão cooperar, na medida das suas possibilidades, para enfrentar o crime organizado transnacional praticado com recurso a meios tecnológicos modernos. Artigo 28 Coleta, intercâmbio e análise de informações sobre a natureza do crime organizado 1. Cada Estado Parte considerará a possibilidade de analisar, em consulta com os meios científicos e universitários, as tendências da criminalidade organizada no seu território, as circunstâncias em que opera e os grupos profissionais e tecnologias envolvidos. 2. Os Estados Partes considerarão a possibilidade de desenvolver as suas capacidades de análise das atividades criminosas organizadas e de as partilhar diretamente entre si e por intermédio de organizações internacionais e regionais. Para este efeito, deverão ser elaboradas e aplicadas, quando for caso disso, definições, norm as e metodologias comuns. 3. Cada Estado Parte considerará o estabelecimento de meios de acompanhamento das suas políticas e das medidas tomadas para combater o crime organizado, avaliando a sua aplicação e eficácia. Artigo 29 Formação e assistência técnica 1. Cada Estado Parte estabelecerá, desenvolverá ou melhorará, na medida das necessidades, programas de formação específicos destinados ao pessoal das autoridades competentes para a aplicação da lei, incluindo promotores públicos, juizes de instrução e funcionários aduaneiros, bem como outro pessoal que tenha 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2026-07-28T01:54:56.934Z</dcterms:created>
  <dcterms:modified xsi:type="dcterms:W3CDTF">2026-07-28T01:54:56.934Z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