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PENAL</w:t>
      </w:r>
    </w:p>
    <w:p>
      <w:r>
        <w:rPr>
          <w:i/>
          <w:iCs/>
          <w:color w:val="666666"/>
        </w:rPr>
        <w:t xml:space="preserve">DECRETO-LEI 2.848 DE 07-12-1940</w:t>
      </w:r>
    </w:p>
    <w:p/>
    <w:p/>
    <w:p>
      <w:r>
        <w:t xml:space="preserve">PRAZOS PREVISTOS NOS ARTS. 29, 30 E 32 DA LEI 10.826/03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10.884, DE 17 DE JUNHO DE 2004 Altera os prazos previstos nos arts. 29, 30 e 32 da Lei nº 10.826, de 22 de dezembro de 2003, e os arts. 5o e 6o da referida Lei e dá outras providências. O PRESIDENTE DA REPÚBLICA Faço saber que o Congresso Nacional decreta e eu sanciono a seguinte Lei: Art. 1o O termo inicial dos prazos previstos nos arts. 29, 30 e 32 da Lei nº 10.826, de 22 de dezembro de 2003, passa a fluir a partir da publicação do decreto que os regulamentar, não ultrapassando, para ter efeito, a data limite de 23 de junho de 2004. Art. 2o O art. 5o e o § 3o do art. 6o da Lei nº 10.826, de 22 de dezembro de 2003, passam a vigorar com a seguinte redação: "Art. 5o O certificado de Registro de Arma de Fogo, com validade em todo o território nacional, autoriza o seu proprietário a manter a arma de fogo exclusivamente no interior de sua residência ou domicílio, ou dependência desses, ou, ainda, no seu local de trabalho, desde que seja ele o titular ou o responsável legal pelo estabelecimento ou empresa. ..........................................................................................." (NR) "Art. 6o ................................................................. ................................................................. § 3o A autorização para o porte de arma de fogo das guardas municipais está condicionada à formação funcional de seus integrantes em estabelecimentos de ensino de atividade policial, à existência de mecanismos de fiscalização e de controle interno, nas condições estabelecidas no regulamento desta Lei, observada a supervisão do Ministério da Justiça. ................................................................." (NR) Art. 3o Esta Lei entra em vigor na data de sua publicação. Brasília, 17 de junho de 2004; 183o da Independência e 116o da República. LUIZ INÁCIO LULA DA SILVA Márcio Thomaz BastosR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2026-10-26T02:36:55.142Z</dcterms:created>
  <dcterms:modified xsi:type="dcterms:W3CDTF">2026-10-26T02:36:55.142Z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