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Julgado em: </w:t>
      </w:r>
      <w:r>
        <w:t xml:space="preserve">04/06/1984</w:t>
      </w:r>
    </w:p>
    <w:p/>
    <w:p>
      <w:r>
        <w:t xml:space="preserve">ACÓRDÃO QUE JULGA PROCEDENTE PARA SUSPENDER SENTENÇA RESCINDENDA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esse óbice - e isso porque, no caso, não se invocou dissídio com súmula e se desistiu da argüição de relevância da questão federal - escapa, somente, a alegação de que houve ofensa ao § 3º do artigo 153 da Constituição, por ter ocorrido violação da coisa julgada. - Não procede, porém, esse fundamento. - A ação rescisória se destina a atacar a coisa julgada e o atribuir-se à sua propositura - o que, no direito brasileiro, é expressamente negado pelo artigo 489 do CPC - ou à ação cautelar a suspensão da execução da sentença transitada em julgado, para evitar dano irreparável no caso de a sentença rescindenda vir a ser desconstituída pela rescisória, é matéria que se circunscreve ao terreno da legislação ordinária, que pode, ou não, admitir essa eficácia sem ofender a coisa julgada em si mesma que, até ser desconstituída pela rescisória, permanece íntegra embora a execução da sentença com trânsito em julgado não se dê de imediato. Por isso mesmo, aliás é que houve críticas quanto ao acerto do Decreto-lei nº 1.030 / 1969 que acrescentou parágrafo único ao artigo 882 do Código de Processo Civil de 1939 ( « Se proposta ação rescisória , ficará sobrestada, em ralação à União, Estados, Municípios e Distritos Federal, a execução da sentença rescindenda referente a domínio ou posse de imóveis, ou à reclassificação equiparação ou promoção de servidor público civil ou militar, desde que a parte autora for uma das entidades »), mas não alegação de ofensa à coisa julgada, e, portanto, de inconstitucionalidade. - Circunscrevendo-se essa questão ao terreno purament e legal - e mesmo em relação a ele é controvertida a possibilidade ou não, da suspensão por ação cautelar (veja-se, a propósito "BARBOSA MOREIRA, Comentários ao Código de Processo Civil", vol. V, 4ª ed., pág. 215, nota 279, Forense, Rio de Janeiro, 1981) - Não ocorre ofensa direta à Constituição, como é mister quando o recurso extraordinário só tem afastado o óbice regimental por alegação dessa natureza . - Em face do exposto não conheço do presente recurso . Julgado em 05-06-1984 Revista Trimestral de Jurisprudência . Setembro, 1985 - Vol. 113 - Pág. 1.313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do disposto no artigo 530 do CPC, não cabem embargos infringentes contra acórdão que, por maioria dos votos, julga procedente ação cautelar para suspender a execução de sentença transitada em julgado contra a qual se propôs ação rescisória . Cabível pois, o recurso extraordinário, por ter sido esgotada a instância ordinária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2026-10-26T03:06:56.299Z</dcterms:created>
  <dcterms:modified xsi:type="dcterms:W3CDTF">2026-10-26T03:06:56.299Z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