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QUEIXA-CRIME</w:t>
      </w:r>
    </w:p>
    <w:p/>
    <w:p/>
    <w:p>
      <w:r>
        <w:t xml:space="preserve">ADVOGADO — CALÚNIA - DIFAMAÇÃO - INJÚRIA - INVASÃO DE DOMICÍLIO - ART. 138/CP - ART. 139/CP - ART. 140/CP - ART. 150/CP - CONCURSO FORMAL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.... (qualificação), advogado inscrito na OAB/.... sob nº ...., o qual mantém escritório profissional na Rua .... nº ...., na Comarca de ...., oferece QUEIXA-CRIME contra .... (qualificação), residente na Rua .... nº ...., na Comarca de ...., e .... (qualificação), residente e domiciliada na Rua .... nº ...., na Comarca de ...., pela prática do seguinte fato: No dia .... de .... de ...., por volta das .... horas, os retro qualificados .... acompanhados de .... adentrou no escritório profissional do Requerente e passou a insultá-lo chamando-o de Ladrão, Pilantra, Desonesto e Estelionatário. .... juntamente com ...., e mediante aderência imediata à conduta deste, insultou o Requerente irrogando-lhe as ofensas de Ladrão, Pilantra, Desonesto e Estelionatário. O Requerente, verbalmente, ordenou que se retirassem de seu escritório. Foi inútil, pois ali permaneceram ambos, contra a sua vontade, insultando-o aos berros e recusando-se a sair ou mesmo permitir que o Requerente se retirasse. Após isso, ...., saindo da sala, se dirigiu ao corredor, e passou a difamá-lo perante todos os ocupantes daquele andar, inclusive abrindo portas e repetindo que o Requerente era pessoa desonesta, ladrão e pilantra. A conduta de ...., e ...., preenchem os tipos previstos nos artigos 138, 139, 140 e 150 do Código Penal, motivo pelo qual requer seja recebida e autuada esta, sendo citados os querelados para se verem processar, seguindo o processo até seus ulteriores termos, para condená-los às penas dos artigos 138, 139, 140 e 150 c/c artigo 70, todos do Código Penal. N. Termos P. Deferimento. ...., .... de .... de .... ROL DE TESTEMUNHAS: 1) .... (qualificação), advogada estabelecida na Rua .... nº ....; 2) .... (qualificação), advogada estabelecida na Rua .... nº ....; e, 3) .... (qualificação), advogado estabelecido na Rua .... nº ...., todos domici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2026-10-26T02:19:23.870Z</dcterms:created>
  <dcterms:modified xsi:type="dcterms:W3CDTF">2026-10-26T02:19:23.870Z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