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11.252</w:t>
      </w:r>
    </w:p>
    <w:p/>
    <w:p>
      <w:r>
        <w:t xml:space="preserve">DISTINÇÃO DOS TRIBUTOS — NÃO SUJEIÇÃO A PRÉVIA AUTORIZAÇÃO ORÇAMENTÁRIA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empréstimo compulsório não é tributo, e sua arrecadação não está sujeita à exigência constitucional da prévia autorização orçamentária. Referência: C F, arts. 141, §§ 2º e 34, 145, 146 e 147; Lei nº 4.242, de 17.07.63, artigo 72; Decreto nº 52.314, de 31.07.63, artigo 2º, a; Lei Est. (Paraná) 4.529, de 12.01.62, artigo 2º RMS 11.252, de 23.03.64; RMS 11.671, de 23.03.64; RMS 11.645, de 23.03.64; RMS 11.666, de 23.03.64; RMS 11.894, de 23.03.64; RMS 11.773, de 23.03.64; RMS 11.933, de 23.03.64; RMS 11.358, de 23.03.64; RMS 11.809, de 06.04.64. DJ 124 de 8 de julho de 1964 - Adendo nº 2 - pág. 2.238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2026-10-26T02:14:09.119Z</dcterms:created>
  <dcterms:modified xsi:type="dcterms:W3CDTF">2026-10-26T02:14:09.119Z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