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EMPRÉSTIMO COMPULSÓRIO</w:t>
      </w:r>
    </w:p>
    <w:p>
      <w:r>
        <w:rPr>
          <w:i/>
          <w:iCs/>
          <w:color w:val="666666"/>
        </w:rPr>
        <w:t xml:space="preserve">PASSAGEM INTERNACIONAL E CÂMBIO</w:t>
      </w:r>
    </w:p>
    <w:p/>
    <w:p>
      <w:r>
        <w:rPr>
          <w:b/>
          <w:bCs/>
        </w:rPr>
        <w:t xml:space="preserve">Recurso: </w:t>
      </w:r>
      <w:r>
        <w:t xml:space="preserve">MS 103.166</w:t>
      </w:r>
    </w:p>
    <w:p/>
    <w:p>
      <w:r>
        <w:t xml:space="preserve">DISTINÇÃO DOS TRIBUTOS — NÃO SUJEIÇÃO AO PRINCÍPIO DA ANTERIORIDADE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- O EMPRÉSTIMO COMPULSÓRIO INSTITUÍDO PELO DECRETO-LEI 2.047, DE 1983, NÃO ESTÁ SUJEITO AO PRINCÍPIO DA ANTERIORIDADE. Referência: - Incidente de Uniformização de Jurisprudência na AMS 103.166 - DF, Segunda Seção, em 17-02-87. - Constituição Federal, arts. 18, § 3º e 21, II. - Código Tributário Nacional, art. 15, I e II. - Decreto-Lei nº 2.047, de 20-07-83. Segunda Seção, em 28-04-87 - DJ 05-05-8, p. 7.999. N. da R.: Eis o enunciado da Súmula 418 do Supremo Tribunal Federal: &lt;&lt;O empréstimo compulsório não é tributo, e sua arrecadação não está sujeita à exigência constitucional da prévia autorização orçamentária.&gt;&gt; (&lt;&lt;EMENTÁRIO FORENSE&gt;&gt;, Nº 191). EMFOR 467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2026-10-26T02:13:51.707Z</dcterms:created>
  <dcterms:modified xsi:type="dcterms:W3CDTF">2026-10-26T02:13:51.707Z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