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103.166</w:t>
      </w:r>
    </w:p>
    <w:p/>
    <w:p>
      <w:r>
        <w:t xml:space="preserve">DISTINÇÃO DOS TRIBUTOS — NÃO SUJEIÇÃO AO PRINCÍPIO DA ANTERIORIDADE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O EMPRÉSTIMO COMPULSÓRIO INSTITUÍDO PELO DECRETO-LEI 2.047, DE 1983, NÃO ESTÁ SUJEITO AO PRINCÍPIO DA ANTERIORIDADE. Referência: - Incidente de Uniformização de Jurisprudência na AMS 103.166 - DF, Segunda Seção, em 17-02-87. - Constituição Federal, arts. 18, § 3º e 21, II. - Código Tributário Nacional, art. 15, I e II. - Decreto-Lei nº 2.047, de 20-07-83. Segunda Seção, em 28-04-87 - DJ 05-05-8, p. 7.999. N. da R.: Eis o enunciado da Súmula 418 do Supremo Tribunal Federal: &lt;&lt;O empréstimo compulsório não é tributo, e sua arrecadação não está sujeita à exigência constitucional da prévia autorização orçamentária.&gt;&gt; (&lt;&lt;EMENTÁRIO FORENSE&gt;&gt;, Nº 191). EMFOR 467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2026-06-17T17:46:35.453Z</dcterms:created>
  <dcterms:modified xsi:type="dcterms:W3CDTF">2026-06-17T17:46:35.453Z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