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RECURSO ESPECIAL .</w:t>
      </w:r>
    </w:p>
    <w:p>
      <w:r>
        <w:rPr>
          <w:b/>
          <w:bCs/>
        </w:rPr>
        <w:t xml:space="preserve">Tribunal: </w:t>
      </w:r>
      <w:r>
        <w:t xml:space="preserve">STJ</w:t>
      </w:r>
    </w:p>
    <w:p/>
    <w:p>
      <w:r>
        <w:t xml:space="preserve">CAUSAS DE AUMENTO DE PENA — FALTA - EFEITOS</w:t>
      </w:r>
    </w:p>
    <w:p/>
    <w:p>
      <w:pPr>
        <w:pStyle w:val="Heading2"/>
      </w:pPr>
      <w:r>
        <w:rPr>
          <w:b/>
          <w:bCs/>
        </w:rPr>
        <w:t xml:space="preserve">Resumo</w:t>
      </w:r>
    </w:p>
    <w:p>
      <w:r>
        <w:t xml:space="preserve">- ..., a toda evidência, a fundamentação das decisões do Poder Judiciário, tal como resulta da letra do inciso IX do artigo 93 da Constituição Federal, é condição absoluta de sua validade e, portanto, pressuposto da sua eficácia, substanciando-se na definição suficiente dos fatos e do direito que a sustentam, de modo a certificar a realização da hipótese de incidência da norma e os efeitos dela resultantes. - Tal fundamentação, para mais, deve ser deduzida em relação necessária com as questões de direito e de fato postas na pretensão e na sua resistência, dentro dos limites do pedido, não se confundindo, de modo algum, com a simples reprodução de expressões ou termos legais, postos em relação não raramente com fatos e juízos abstratos, inidôneos à incidência da norma invocada. - Afora casos excepcionais de caracterizadas ilegalidades ou abuso de poder, fazem-se estranhos ao âmbito estreito e, pois, ao cabimento do habeas corpus, os pedidos de modificação ou de reexame do juízo de individualização da sanção penal, na sua quantidade e no estabelecimento do regime inicial do cumprimento da pena de prisão, enquanto requisitam a análise aprofundada dos elementos dos autos, referentes ao fato criminoso, às suas circunstâncias, às suas conseqüências, aos antecedentes, à conduta social, à personalidade e aos motivos do agente, bem como ao comportamento da vítima. - É esta a letra da sentença condenatória, na parte relativa à individualização da pena: "(...) O acusado J.A.O. é reincidente (fls.) em crimes da mesma natureza. Conduta social reprovada. Face a esses fatores fixo a pena base em 08 anos de reclusão, exasperando-se da metade, pelo reconhecimento do duplo agravante. O acusado C.F.S. é técnicamente primário (fls.). Nada consta de concreto que desabone os seus antecedentes.</w:t>
      </w:r>
    </w:p>
    <w:p/>
    <w:p>
      <w:pPr>
        <w:pStyle w:val="Heading2"/>
      </w:pPr>
      <w:r>
        <w:rPr>
          <w:b/>
          <w:bCs/>
        </w:rPr>
        <w:t xml:space="preserve">Ementa</w:t>
      </w:r>
    </w:p>
    <w:p>
      <w:r>
        <w:t xml:space="preserve">1. A toda evidência, a fundamentação das decisões do Poder Judiciário, tal como resulta da letra do inciso IX do artigo 93 da Constituição Federal, é condição absoluta de sua validade e, portanto, pressuposto da sua eficácia, substanciando-se na definição suficiente dos fatos e do direito que a sustentam, de modo a certificar a realização da hipótese de incidência da norma e os efeitos dela resultantes. 2. Tal fundamentação, para mais, deve ser deduzida em relação necessária com as questões de direito e de fato postas na pretensão e na sua resistência, dentro dos limites do pedido, não se confundindo, de modo algum, com a simples reprodução de expressões ou termos legais, postos em relação não raramente com fatos e juízos abstratos, inidôneos à incidência da norma invocada. 3. Afora casos excepcionais de caracterizadas ilegalidades ou abuso de poder, fazem-se estranhos ao âmbito estreito e, pois, ao cabimento do habeas corpus, os pedidos de modificação ou de reexame do juízo de individualização da sanção penal, na sua quantidade e no estabelecimento do regime inicial do cumprimento da pena de prisão, enquanto requisitam a análise aprofundada dos elementos dos autos, referentes ao fato criminoso, às suas circunstâncias, às suas conseqüências, aos antecedentes, à conduta social, à personalidade e aos motivos do agente, bem como ao comportamento da vítima. 4. Em desatendendo o juiz, a um só tempo, o artigo 68 do Código Penal e o inciso IX do artigo 93 da Constituição da República, inobservando a ordem do cálculo da pena, enquanto fez consideração conjunta de circunstâncias judicial e legal, e violando o dever constitucional de motivar a sentença, que é também legal (artigo 381 do Código de Processo Penal), limitando-se, a registrar a conduta social reprovável do réu e a indicar o reconhecimento do "duplo agravante", é de se reduzir a pena-base ao mínimo legal. 5. Ao estabelecer o aumento de pena no roubo, deve o juiz considerar, não, a gravidade abstrata do delito, como sói acontecer quando se faz caso apenas quantitativamente das causas especiais, mas, sim, a sua gravidade concreta para, desse modo, fixar o quantum de pena, na extensão do aumento, que vai de um mínimo a um máximo (Código Penal, artigo 157, parágrafo 2º). 6. A consideração só quantitativa das causas especiais de aumento de pena, submetidas a regime alternativo, é expressão, em última análise, da responsabilidade penal objetiva, enquanto a qualitativa é própria do direito penal da culpa e atende aos imperativos da individualização da pena, permitindo, "ad exemplum", que uma única causa especial de aumento alternativa possa conduzir o "quantum" de pena para além do mínimo legal do aumento, que, em contrapartida, pode ser insuperável, diante do caso concreto, mesmo em se caracterizando mais de uma causa especial de aumento dessa espécie. 7. Tais espécies de aumento de pena são próprias da última fase do cálculo da pena, à luz do disposto no artigo 68, "caput", do Código Penal, nada impedindo, como o exige a espécie, a despeito de serem duas as causas de aumento, que se o estabeleça no seu limite mínimo, à falta de razão autorizante do seu desrespeito.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2026-07-28T04:13:11.317Z</dcterms:created>
  <dcterms:modified xsi:type="dcterms:W3CDTF">2026-07-28T04:13:11.317Z</dcterms:modified>
</cp:coreProperties>
</file>

<file path=docProps/custom.xml><?xml version="1.0" encoding="utf-8"?>
<Properties xmlns="http://schemas.openxmlformats.org/officeDocument/2006/custom-properties" xmlns:vt="http://schemas.openxmlformats.org/officeDocument/2006/docPropsVTypes"/>
</file>