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COMPETÊNCIA POR PREVENÇÃO</w:t>
      </w:r>
    </w:p>
    <w:p/>
    <w:p>
      <w:r>
        <w:rPr>
          <w:b/>
          <w:bCs/>
        </w:rPr>
        <w:t xml:space="preserve">Relator: </w:t>
      </w:r>
      <w:r>
        <w:t xml:space="preserve">Cairo Ítalo França David</w:t>
      </w:r>
    </w:p>
    <w:p/>
    <w:p>
      <w:r>
        <w:t xml:space="preserve">HOMOLOGAÇÃO ANTES DE SEU CUMPRIMENTO — LEGALIDADE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110 - TRANSAÇÃO PENAL HOMOLOGADA ANTES DO SEU CUMPRIMENTO - CASSAÇÃO DA SENTENÇA - IMPOSSIBILIDADE. Transação penal homologada antes de seu cumprimento. Recurso do Ministério Público buscando a cassação da sentença. Impossibilidade. 1. A transação penal só se torna exigível após homologada. 2. A exigência de seu cumprimento antes da homologação, embora tenha o cunho prático de evitar o seu desatendimento, e também uma execução, quase sempre fadada ao fracasso, não encontra amparo legal. 3. Na hipótese presente, o autor do fato aceitou e já cumpriu a transação penal. 4. Recurso do Ministério Público conhecido, mas ao qual se nega provimento, mantendo-se a sentença homologatória, devendo o juiz da 1ª instância aplicar as disposições do artigo 84, parágrafo único, da Lei nº 9.099/95. Este magistrado , noutros casos oriundos do Juizado Especial Criminal de Petrópolis, tem-se manifestado pela anulação do feito desde a audiência preliminar, quando realizada sem a observância dos requisitos legais. No caso vertente, entretanto, a defesa esteve presente durante a realização da respectiva audiência, não protestou quanto à ausência do Ministério Público e do juiz ao ato e, além disso, já cumpriu a transação penal ofertada. Em tal circunstância, quando resta clara a inexistência de qualquer prejuízo para a defesa, não haveria lugar para a anulação do ato. Considerando-se o que foi acima exposto, mostra-se correta a sentença homologatória da transação, pois condicionar-se esta decisão ao prévio cumprimento do que foi avençado, "data venia", não encontra amparo legal. Ademais, antes de homologada a transação ela sequer é exigível. Não se pode intimar alguém para cumprir algo que não tenha existência jurídica. Em tese há o interesse do Ministério Público em recorrer da decisão que teria homologado a transação em desconformidade com a proposta feita, embora as condições estipuladas, a nosso ver, não se ancorem na lei. Voto assim, pelo conhecimento e não provimento do recurso, mantendo-se a decisão monocrática, devendo ser aplicadas as disposições do artigo 84, parágrafo único, da Lei nº 9.099/95. Processo nº 2003.700.025996-1. Primeira Turma Recursal Criminal. Relator: Juiz Cairo Ítalo França David. Julgamento: 17/11/2003. Cadernos de Jurisprudência. Juizados Especiais. Editora Espaço Jurídico. Dezembro de 2004. Vol. 011. Pág. 83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2026-10-26T03:04:28.362Z</dcterms:created>
  <dcterms:modified xsi:type="dcterms:W3CDTF">2026-10-26T03:04:28.362Z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