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p>
      <w:r>
        <w:t xml:space="preserve">SISTEMA NACIONAL DE PREVENÇÃO, FISCALIZAÇÃO E REPRESSÃO AO FURTO E ROUBO DE VEÍCULOS E CARGAS — CRIA</w:t>
      </w:r>
    </w:p>
    <w:p/>
    <w:p>
      <w:pPr>
        <w:pStyle w:val="Heading2"/>
      </w:pPr>
      <w:r>
        <w:rPr>
          <w:b/>
          <w:bCs/>
        </w:rPr>
        <w:t xml:space="preserve">Ementa</w:t>
      </w:r>
    </w:p>
    <w:p>
      <w:r>
        <w:t xml:space="preserve">LEI COMPLEMENTAR Nº 121, DE 09 DE FEVEREIRO DE 2006 Cria o Sistema Nacional de Prevenção, Fiscalização e Repressão ao Furto e Roubo de Veículos e Cargas e dá outras providências. O VICE-PRESIDENTE DA REPÚBLICA, no exercício do cargo de PRESIDENTE DA REPÚBLICA Faço saber que o Congresso Nacional decreta e eu sanciono a seguinte Lei: Art. 1º Esta Lei Complementar cria o Sistema Nacional de Prevenção, Fiscalização e Repressão ao Furto e Roubo de Veículos e Cargas. Art. 2º Fica instituído, no âmbito do Poder Executivo, o Sistema Nacional de Prevenção, Fiscalização e Repressão ao Furto e Roubo de Veículos e Cargas, com os seguintes objetivos: I - planejar e implantar a política nacional de combate ao furto e roubo de veículos e cargas; II - gerar e implementar mecanismos de cooperação entre a União, os Estados e o Distrito Federal, para o desenvolvimento de ações conjuntas de combate ao furto e roubo de veículos e cargas, com a participação dos respectivos órgãos de segurança e fazendários; III - promover a capacitação e a articulação dos órgãos federais, estaduais e do Distrito Federal com atribuições pertinentes ao objeto desta Lei Complementar; IV - incentivar a formação e o aperfeiçoamento do pessoal civil e militar empregado na área de trânsito e segurança pública, no âmbito federal, estadual e do Distrito Federal; V - propor alterações na legislação nacional de trânsito e penal com vistas na redução dos índices de furto e roubo de veículos e cargas; VI - empreender a modernização e a adequação tecnológica dos equipamentos e procedimentos empregados nas atividades de prevenção, fiscalização e repressão ao furto e roubo de veículos e cargas; VII - desenvolver campanhas de esclarecimento e orientação aos transportadores e proprietários de veículos e cargas; VIII - organizar, operar e manter sistema de informaçõ es para o conjunto dos órgãos integrantes do Sistema, nos seus diferentes níveis de atuação; IX - promover e implantar o uso, pelos fabricantes, de códigos que identifiquem na nota fiscal o lote e a unidade do produto que está sendo transportado. § 1º O Sistema compreende o conjunto dos órgãos, programas, atividades, normas, instrumentos, procedimentos, instalações, equipamentos e recursos materiais, financeiros e humanos destinados à execução da política nacional de prevenção, fiscalização e repressão ao roubo e furto de veículos e cargas. § 2º (VETADO) § 3º Todos os órgãos integrantes do Sistema ficam obrigados a fornecer informações relativas a roubo e furto de veículos e cargas, com vistas em constituir banco de dados do sistema de informações previsto no inciso VIII do caput deste artigo. Art. 3º A União, os Estados e o Distrito Federal, mediante celebração de convênios, poderão estabelecer, conjuntamente, planos, programas e estratégias de ação voltados para o combate ao furto e roubo de veículos e cargas em todo o território nacional. Art. 4º (VETADO) Art. 5º (VETADO) Art. 6º (VETADO) Art. 7º O Conselho Nacional de Trânsito - CONTRAN estabelecerá: I - os dispositivos antifurto obrigatórios nos veículos novos, saídos de fábrica, produzidos no País ou no exterior; II - os sinais obrigatórios de identificação dos veículos, suas características técnicas e o local exato em que devem ser colocados nos veículos; III - os requisitos técnicos e atributos de segurança obrigatórios nos documentos de propriedade e transferência de propriedade de veículo. § 1º As alterações necessárias nos veículos ou em sua documentação em virtude do disposto pela Resolução do CONTRAN, mencionada no caput deste artigo, deverão ser providenciadas no prazo de 24 (vinte e quatro) meses a contar da publicação dessa Resolução. § 2º Findo o prazo determinado no § 1º deste artigo, nenhum veículo poderá ser mantido ou entrar em circulação se não forem atendidas as condições fixadas pelo CONTRAN, conforme estabelecido neste artigo. Art. 8º Todo condutor de veículo comercial de carga deverá portar, quando este não for de sua propriedade, autorização para conduzi-lo fornecida pelo seu proprietário ou arrendatário. § 1º A autorização para conduzir o veículo, de que trata este artigo, é de porte obrigatório e será exigida pela fiscalização de trânsito, podendo relacionar um ou mais condutores para vários veículos, de acordo com as necessidades do serviço e de operação da frota. § 2º A infração pelo descumprimento do que dispõe este artigo será punida com as penalidades previstas no art. 232 da Lei nº 9.503, de 23 de setembro de 1997, que institui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2026-07-28T02:15:29.320Z</dcterms:created>
  <dcterms:modified xsi:type="dcterms:W3CDTF">2026-07-28T02:15:29.320Z</dcterms:modified>
</cp:coreProperties>
</file>

<file path=docProps/custom.xml><?xml version="1.0" encoding="utf-8"?>
<Properties xmlns="http://schemas.openxmlformats.org/officeDocument/2006/custom-properties" xmlns:vt="http://schemas.openxmlformats.org/officeDocument/2006/docPropsVTypes"/>
</file>