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19/12/1976</w:t>
      </w:r>
    </w:p>
    <w:p/>
    <w:p>
      <w:r>
        <w:t xml:space="preserve">RÉU INTIMADO POR EDITAL — SE DISPENSA A DE SEU DEFENSOR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Afora pronunciamento da justiça local, o STF, por uma de suas Turmas, manifestou-se, expressamente, em sentido contrário, isto é, deu pela desnecessidade de intimação do defensor dativo. - Ao que parece, o entendimento, ali, não é unânime, havendo, como há, decisão que se assenta no pressuposto de que, para intimação da sentença ao réu, reclama-se a intimação do defensor (v. DJU de 26-04-1976, em acórdão da 8ª. Câmara do Tribunal de Alçada Criminal). - Aliás, nessa Corte do Estado - o Tribunal de Alçada Criminal - a matéria passou pelo crivo de amplo debate predominando, hoje, a interpretação ampliativa. Não só acórdão, unânime, da 6ª. Câmara (apelação nº. 140-481, relator CUNHA CAMARGO), mas aresto, sem voto discrepante, do 3º. Grupo (revisão nº. 70.056. relator FERNANDO PRADO), reconhecem a obrigatoriedade da intimação do defensor até em caso, como o dos autos, em que o réu foi intimado por edital. - Tais considerações implicam reconhecer que a intimação da sentença só se completaria com a posterior intimação feita ao defensor do réu. - E dado que isso, formalmente, não ocorreu, tem-se que o defensor foi intimado por ocasião do apelo, que formulou. - O recurso, assim, é tempestivo. Julgado em 20-12-1976 Revista dos Tribunais. Maio, 1977. Vol. 499. Pág. 306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obrigatória a intimação da sentença ao defensor do réu, até mesmo na hipótese deste ter sido intimado por edital.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2026-10-26T04:12:57.653Z</dcterms:created>
  <dcterms:modified xsi:type="dcterms:W3CDTF">2026-10-26T04:12:57.653Z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