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EMPRÉSTIMO COMPULSÓRIO</w:t>
      </w:r>
    </w:p>
    <w:p>
      <w:r>
        <w:rPr>
          <w:i/>
          <w:iCs/>
          <w:color w:val="666666"/>
        </w:rPr>
        <w:t xml:space="preserve">PASSAGEM INTERNACIONAL E CÂMBIO</w:t>
      </w:r>
    </w:p>
    <w:p/>
    <w:p/>
    <w:p>
      <w:r>
        <w:t xml:space="preserve">FALTA DE INTIMAÇÃO DO SENHORIO DIRETO — ANULABILIDADE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Vale acrescentar a essas razões de decidir que a intimação determinada pelo artigo 698 do Código de Processo Civil, em relação à enfiteuse, objetiva assegurar ao senhorio o direito de preferência. Se a intimação não se realiza, não ocorre a nulidade da arrematação, senão que se torna ela anulável, persistindo o direito de preferência do senhorio direto. Diz a respeito o citado HUMBERTO THEODORO JUNIOR: "Realizada a arrematação, sem a prévia intimação, continuará o senhorio direto a contar com a faculdade de exercer a preferência perante o arrematante, se não optar pelo desfazimento da alienação judicial, nos termos do artigo 694, parágrafo único, nº IV". (obr. cit. vol. IV, págs. 493/494). - Assim, no caso, poderá o senhorio direto exercer, perante o arrematante, seu direito de preferência, se não optar pelo desfazimento da arrematação. Ac. de 30-04-1986 Revista do Tribunal Federal de Recursos - Novembro de 1987 - Vol. 1.515 - Pág. 57 EMFOR 501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Realizada a praça sem intimação do senhorio direto a arrematação é anulável. Continuará o senhorio direto a contar com a faculdade de exercer a preferência perante o arrematante, se não optar pelo desfazimento da alienação judicial, a teor do art. 694, parágrafo único, IV, do CPC.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2026-10-26T02:13:25.159Z</dcterms:created>
  <dcterms:modified xsi:type="dcterms:W3CDTF">2026-10-26T02:13:25.159Z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