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/>
    <w:p>
      <w:r>
        <w:t xml:space="preserve">FALTA DE INTIMAÇÃO DO SENHORIO DIRETO — ANULABILIDADE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Vale acrescentar a essas razões de decidir que a intimação determinada pelo artigo 698 do Código de Processo Civil, em relação à enfiteuse, objetiva assegurar ao senhorio o direito de preferência. Se a intimação não se realiza, não ocorre a nulidade da arrematação, senão que se torna ela anulável, persistindo o direito de preferência do senhorio direto. Diz a respeito o citado HUMBERTO THEODORO JUNIOR: "Realizada a arrematação, sem a prévia intimação, continuará o senhorio direto a contar com a faculdade de exercer a preferência perante o arrematante, se não optar pelo desfazimento da alienação judicial, nos termos do artigo 694, parágrafo único, nº IV". (obr. cit. vol. IV, págs. 493/494). - Assim, no caso, poderá o senhorio direto exercer, perante o arrematante, seu direito de preferência, se não optar pelo desfazimento da arrematação. Ac. de 30-04-1986 Revista do Tribunal Federal de Recursos - Novembro de 1987 - Vol. 1.515 - Pág. 57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Realizada a praça sem intimação do senhorio direto a arrematação é anulável. Continuará o senhorio direto a contar com a faculdade de exercer a preferência perante o arrematante, se não optar pelo desfazimento da alienação judicial, a teor do art. 694, parágrafo único, IV,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2026-09-10T22:09:09.733Z</dcterms:created>
  <dcterms:modified xsi:type="dcterms:W3CDTF">2026-09-10T22:09:09.733Z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