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Britto</w:t>
      </w:r>
    </w:p>
    <w:p/>
    <w:p>
      <w:r>
        <w:t xml:space="preserve">CONSUMAÇÃO — DELITO QUE SE PERFAZ COM A MERA POSSE DE COISA ALHEIA MÓVEL SUBTRAÍDA MEDIANTE GRAVE AMEAÇA OU VIOLÊNCIA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ROUBO - Consumação - Delito que se perfaz com a mera posse de coisa alheia móvel subtraída mediante grave ameaça ou violência - Dispensabilidade de posse mansa e pacífica da res furtiva. HC 89.959-5 - São Paulo. Relator: Min. Carlos Britto. Pacientes: Erivan de Souza Soares e Ana Lucia Santos da Silva ou Ana Lucia dos Santos Silva. Impetrante: PGE-SP - Nilson Berenchtein Junior. Advogada: PGE-SP - Patrícia Helena Massa Arzabe (Assistência Judiciária). Coator: STJ. Ementa Oficial: Habeas corpus. Recurso especial. Divergência jurisprudencial. Cabimento (alínea c do inc. III do art. 105 da CF/88). Crime de roubo: momento de consumação. É firme a jurisprudência desta C. Corte de que o delito de roubo se consuma no instante em que o agente se torna possuidor da coisa alheia móvel subtraída mediante grave ameaça ou violência. Noutros termos: é de se considerar consumado o roubo, quando o agente, cessada a violência ou a grave ameaça, inverte a posse da res furtiva. Sendo desnecessário que a posse da coisa seja mansa e pacífica. Precedentes: RE 102.490, rel. Min. Moreira Alves (Pleno); HC 89.958, rel. Min. Sepúlveda Pertence (1.a T.); HC 89.653, rel. Min. Ricardo Lewandowski (1.a T.); e HC 89.619, de minha relatoria (1.a T.). Por outra volta, não procedem as alegações de que houve reexame de matéria fática (Súm. 7 do STJ) e que não ficou demonstrada a divergência de interpretação, exigida pela alínea c do inc. III do art. 105 da CF/88. Habeas corpus indeferido. ACÓRDÃO - Vistos, relatados e discutidos estes autos, acordam os Ministros da 1.a T. do STF, sob a presidência do Min. Marco Aurélio, na conformidade da ata do julgamento e das notas taquigráficas, por m.v., em indeferir o pedido de habeas corpus; vencido o presidente. Brasília, 29 de maio de 2007 - CARLOS AYRES BRITTO, relator. Data do julgamento: 29.05.2007; 1.a T.; HC 89.959-5-SP; relator: Min. Carlos Britto; pacientes: Erivan de Souza Soares e Ana Lucia Santos da Silva ou Ana Lucia dos Santos Silva; impetrante: PGE-SP - Nilson Berenchtein Junior; advogado: PGE-SP - Patrícia Helena Massa Arzabe (Assistência Judiciária); coator: STJ. RELATÓRIO - O Exmo. Sr. Min. Carlos Ayres Britto (relator): Cuida-se de habeas corpus, aparelhado com pedido de medida liminar, contra decisão proferida pelo STJ. Decisão que, ao acolher o recurso especial interposto pelo Ministério Público do Estado de São Paulo, firmou a orientação de que o delito de roubo se consuma "com a apreensão da coisa pelo agente, mesmo que haja imediata perseguição e seja ele preso" (f.). 2. Pois bem, a parte impetrante sustenta que há evidente constrangimento ilegal. Isto porque: I - não se demonstrou a divergência de interpretação exigida para o cabimento do recurso especial com base na alínea c do inc. III do art. 105 da CF/88; II - o STJ estava impedido de conhecer do apelo, já que não é cabível reexame de prova em sede de recurso especial; e III - não houve a cessação da ameaça/violência a legitimar a alegada consumação do crime de roubo, dado que os pacientes foram surpreendidos no instante em que a ação ocorria e sofreram interceptação imediata. Daí o pedido de concessão da ordem, com o objetivo de que se reconheça a configuração de crime tentado (inc. II do art. 14 do CP). 3. Indeferida a liminar, abri vista dos autos à douta Procuradoria-Geral da República. Órgão Ministerial que opinou pela denegação da ordem. É o relatório. VOTO - O Exmo. Sr. Min. Carlos Ayres Britto (relator): Inicio meu voto, dizendo que o STJ não precisou reexaminar matéria fática para dar provimento ao recurso especial. 6. Com efeito, a simples leitura dos autos dá conta de que a decisão impugnada se limitou a analisar a tese jurídica desenvolvida nas razões do especial, frente à decisão proferida pelo TACrimSP. É dizer: tomaram-se em linha de conta os contornos factuais soberanamente traçados pelo acórdão recorrido. A significar, então, que não se reexaminou prova, o que é proibido pela Súm. 7 do STJ. 7. Nessa contextura, também é de se repelir a alegada ausência de demonstração da divergência de interpretação de lei federal. Para tanto, basta conferir o seguinte trecho da decisão singular que deu provimento ao recurso especial: "resta evidente, portanto, que a decisão do extinto TACrimSP não está afinada com a jurisprudência deste STJ, impondo-se sua reforma" (f.). Além disso, houve menção expressa a diversos julgados do STJ, e também do STF (HC 74.376, rel. Min. Moreira Alves), em que se constatou o dissídio jurisprudencial.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2026-10-26T05:24:14.430Z</dcterms:created>
  <dcterms:modified xsi:type="dcterms:W3CDTF">2026-10-26T05:24:14.430Z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