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ESTABELECIMENTO ADEQUADO</w:t>
      </w:r>
    </w:p>
    <w:p/>
    <w:p/>
    <w:p>
      <w:r>
        <w:t xml:space="preserve">02. LIVRO I — DO PROCESSO EM GERAL
     Título IV - Da Ação Civil
     Título V - Da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DA AÇÃO CIVIL Art. 63. Transitada em julgado a sentença condenatória, poderão promover-lhe a execução, no juízo cível, para o efeito da reparação do dano, o ofendido, seu representante legal ou seus herdeiros. Parágrafo único. Transitada em julgado a sentença condenatória, a execução poderá ser efetuada pelo valor fixado nos termos do inciso IV do caput do art. 387 deste Código sem prejuízo da liquidação para a apuração do dano efetivamente sofrido. (Acrescentado pela Lei 11.719 de 2008) Art. 64. Sem prejuízo do disposto no artigo anterior, a ação para ressarcimento do dano poderá ser proposta no juízo cível, contra o autor do crime e, se for caso, contra o responsável civil. (Vide Lei nº 5.970, de 1973) Parágrafo único. Intentada a ação penal, o juiz da ação civil poderá suspender o curso desta, até o julgamento definitivo daquela. Art. 65. Faz coisa julgada no cível a sentença penal que reconhecer ter sido o ato praticado em estado de necessidade, em legítima defesa, em estrito cumprimento de dever legal ou no exercício regular de direito. Art. 66. Não obstante a sentença absolutória no juízo criminal, a ação civil poderá ser proposta quando não tiver sido, categoricamente, reconhecida a inexistência material do fato. Art. 67. Não impedirão igualmente a propositura da ação civil: I - o despacho de arquivamento do inquérito ou das peças de informação; II - a decisão que julgar extinta a punibilidade; III - a sentença absolutória que decidir que o fato imputado não constitui crime. Art. 68. Quando o titular do direito à reparação do dano for pobre (art. 32, §§ 1º e 2º), a execução da sentença condenatória (art. 63) ou a ação civil (art. 64) será promovida, a seu requerimento, pelo Ministério Público. TÍTULO V DA COMPETÊNCIA Art. 69. Determinará a competência jurisdicional: I - o lugar da infração: II - o domicílio ou residência do réu; III - a natureza da infração; IV - a distribuição; V - a conexão ou continência; VI - a prevenção; VII - a prerrogativa de função. CAPÍTULO I DA COMPETÊNCIA PELO LUGAR DA INFRAÇÃO Art. 70. A competência será, de regra, determinada pelo lugar em que se consumar a infração, ou, no caso de tentativa, pelo lugar em que for praticado o último ato de execução. § 1º Se, iniciada a execução no território nacional, a infração se consumar fora dele, a competência será determinada pelo lugar em que tiver sido praticado, no Brasil, o último ato de execução. § 2º Quando o último ato de execução for praticado fora do território nacional, será competente o juiz do lugar em que o crime, embora parcialmente, tenha produzido ou devia produzir seu resultado. § 3º Quando incerto o limite territorial entre duas ou mais jurisdições, ou quando incerta a jurisdição por ter sido a infração consumada ou tentada nas divisas de duas ou mais jurisdições, a competência firmar-se-á pela prevenção. Art. 71. Tratando-se de infração continuada ou permanente, praticada em território de duas ou mais jurisdições, a competência firmar-se-á pela prevenção. CAPÍTULO II DA COMPETÊNCIA PELO DOMICÍLIO OU RESIDÊNCIA DO RÉU Art. 72. Não sendo conhecido o lugar da infração, a competência regular-se-á pelo domicílio ou residência do réu. § 1º Se o réu tiver mais de uma residência, a competência firmar-se-á pela prevenção. § 2º Se o réu não tiver residência certa ou for ignorado o seu paradeiro, será competente o juiz que primeiro tomar conhecimento do fato. Art. 73. Nos casos de exclusiva ação privada, o querelante poderá preferir o foro de domicílio ou da residência do réu, ainda quando conhecido o lugar da infração. CAPÍTULO III DA COMPETÊNCIA PELA NATUREZA DA INFRAÇÃO Art. 74. A competência pela natureza da infração será regulada pelas leis de organização judiciária, salvo a competência privativa do Tribunal do Júri. § 1º Compete ao Tribunal do Júri o julgamento dos crimes previstos nos arts. 121, §§ 1º e 2º, 122, parágrafo único, 123, 124, 125, 126 e 127 do Código Penal, consumados ou tentados. (Redação dada pela Lei nº 263, de 23.2.1948) § 2º Se, iniciado o processo perante um juiz, houver desclassificação para infração da competência de outro, a este será remetido o processo, salvo se mais graduada for a jurisdição do primeiro, que, em tal caso, terá sua competência prorrogada. § 3º Se o juiz da pronúncia desclassificar a infração para outra atribuída à competência de juiz singular, observar-se-á o disposto no art. 410; mas, se a desclassificação for feita pelo próprio Tribunal do Júri, a seu presidente caberá profe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2026-10-26T02:36:40.301Z</dcterms:created>
  <dcterms:modified xsi:type="dcterms:W3CDTF">2026-10-26T02:36:40.301Z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