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r>
        <w:rPr>
          <w:b/>
          <w:bCs/>
        </w:rPr>
        <w:t xml:space="preserve">Recurso: </w:t>
      </w:r>
      <w:r>
        <w:t xml:space="preserve">re .</w:t>
      </w:r>
    </w:p>
    <w:p/>
    <w:p>
      <w:r>
        <w:t xml:space="preserve">17. LIVRO V — DAS RELAÇÕES JURISDICIONAIS COM AUTORIDADE ESTRANGEIRA
     Título Único
     LIVRO VI - DISPOSIÇÕES GERAIS</w:t>
      </w:r>
    </w:p>
    <w:p/>
    <w:p>
      <w:pPr>
        <w:pStyle w:val="Heading2"/>
      </w:pPr>
      <w:r>
        <w:rPr>
          <w:b/>
          <w:bCs/>
        </w:rPr>
        <w:t xml:space="preserve">Ementa</w:t>
      </w:r>
    </w:p>
    <w:p>
      <w:r>
        <w:t xml:space="preserve">LIVRO V DAS RELAÇÕES JURISDICIONAIS COM AUTORIDADE ESTRANGEIRA TÍTULO ÚNICO CAPÍTULO I DISPOSIÇÕES GERAIS Art. 780. Sem prejuízo de convenções ou tratados, aplicar-se-á o disposto neste Título à homologação de sentenças penais estrangeiras e à expedição e ao cumprimento de cartas rogatórias para citações, inquirições e outras diligências necessárias à instrução de processo penal. Art. 781. As sentenças estrangeiras não serão homologadas, nem as cartas rogatórias cumpridas, se contrárias à ordem pública e aos bons costumes. Art. 782. O trânsito, por via diplomática, dos documentos apresentados constituirá prova bastante de sua autenticidade. CAPÍTULO II DAS CARTAS ROGATÓRIAS Art. 783. As cartas rogatórias serão, pelo respectivo juiz, remetidas ao Ministro da Justiça, a fim de ser pedido o seu cumprimento, por via diplomática, às autoridades estrangeiras competentes. Art. 784. As cartas rogatórias emanadas de autoridades estrangeiras competentes não dependem de homologação e serão atendidas se encaminhadas por via diplomática e desde que o crime, segundo a lei brasileira, não exclua a extradição. § 1º As rogatórias, acompanhadas de tradução em língua nacional, feita por tradutor oficial ou juramentado, serão, após exequatur do presidente do Supremo Tribunal Federal, cumpridas pelo juiz criminal do lugar onde as diligências tenham de efetuar-se, observadas as formalidades prescritas neste Código. § 2º A carta rogatória será pelo presidente do Supremo Tribunal Federal remetida ao presidente do Tribunal de Apelação do Estado, do Distrito Federal, ou do Território, a fim de ser encaminhada ao juiz competente. § 3º Versando sobre crime de ação privada, segundo a lei brasileira, o andamento, após o exequatur, dependerá do interessado, a quem incumbirá o pagamento das despesas. § 4º Ficará sempre na secretaria do Supremo Tribunal Federal cópia da carta rogatória. Art. 785. Concluídas as diligências, a carta rogatória será devolvida ao presidente do Supremo Tribunal Federal, por intermédio do presidente do Tribunal de Apelação, o qual, antes de devolvê-la, mandará completar qualquer diligência ou sanar qualquer nulidade. Art. 786. O despacho que conceder o exequatur marcará, para o cumprimento da diligência, prazo razoável, que poderá ser excedido, havendo justa causa, ficando esta consignada em ofício dirigido ao presidente do Supremo Tribunal Federal, juntamente com a carta rogatória. CAPÍTULO III DA HOMOLOGAÇÃO DAS SENTENÇAS ESTRANGEIRAS Art. 787. As sentenças estrangeiras deverão ser previamente homologadas pelo Supremo Tribunal Federal para que produzam os efeitos do art. 7º do Código Penal. Art. 788. A sentença penal estrangeira será homologada, quando a aplicação da lei brasileira produzir na espécie as mesmas conseqüências e concorrem os seguintes requisitos: I - estar revestida das formalidades externas necessárias, segundo a legislação do país de origem; II - haver sido proferida por juiz competente, mediante citação regular, segundo a mesma legislação; III - ter passado em julgado; IV - estar devidamente autenticada por cônsul brasileiro; V - estar acompanhada de tradução, feita por tradutor público. Art. 789. O procurador-geral da República, sempre que tiver conhecimento da existência de sentença penal estrangeira, emanada de Estado que tenha com o Brasil tratado de extradição e que haja imposto medida de segurança pessoal ou pena acessória que deva ser cumprida no Brasil, pedirá ao Ministro da Justiça providências para obtenção de elementos que o habilitem a requerer a homologação da sentença. § 1º A homologação de sentença emanada de autoridade judiciária de Estado, que não tiver tratado de extradição com o Brasil, dependerá de requisição do Ministro da Justiça. § 2º Distribuído o requerimento de homologação, o relator mandará citar o interessado para deduzir embargos, dentro de dez dias, se residir no Distrito Federal, de trinta dias, no caso contrário. § 3º Se nesse prazo o interessado não deduzir os embargos, ser-lhe-á pelo relator nomeado defensor, o qual dentro de dez dias produzirá a defesa. § 4º Os embargos somente poderão fundar-se em dúvida sobre a autenticidade do documento, sobre a inteligência da sentença, ou sobre a falta de qualquer dos requisitos enumerados nos arts. 781 e 788. § 5º Contestados os embargos dentro de dez dias, pelo procurador-geral, irá o processo ao relator e ao revisor, observando-se no seu julgamento o Regimento Interno do Supremo Tribunal Federal. § 6º Homologada a sentença, a 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2026-07-27T23:53:20.546Z</dcterms:created>
  <dcterms:modified xsi:type="dcterms:W3CDTF">2026-07-27T23:53:20.546Z</dcterms:modified>
</cp:coreProperties>
</file>

<file path=docProps/custom.xml><?xml version="1.0" encoding="utf-8"?>
<Properties xmlns="http://schemas.openxmlformats.org/officeDocument/2006/custom-properties" xmlns:vt="http://schemas.openxmlformats.org/officeDocument/2006/docPropsVTypes"/>
</file>