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GILSON DIPP</w:t>
      </w:r>
    </w:p>
    <w:p>
      <w:r>
        <w:rPr>
          <w:b/>
          <w:bCs/>
        </w:rPr>
        <w:t xml:space="preserve">Julgado em: </w:t>
      </w:r>
      <w:r>
        <w:t xml:space="preserve">06/12/2006</w:t>
      </w:r>
    </w:p>
    <w:p/>
    <w:p>
      <w:r>
        <w:t xml:space="preserve">ESTELIONATO CONTRA A PREVIDÊNCIA SOCIAL — UTILIZAÇÃO DE VÍNCULOS EMPREGATÍCIOS FICTÍCIOS - TIPO SUBJETIVO CARACTERIZADO - AUTORIA E MATERIALIDADE DEMONSTRADAS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RELATOR: ANDRÉ FONTES APELANTE: MARLY AZEVEDO DA SILVA ADVOGADO: GILBERTO LUIZ CHAVES APELANTE: VEROCHILE DA SILVA ADVOGADO: GILBERTO LUIZ CHAVES APELADO: MINISTERIO PUBLICO ORIGEM: JUÍZO FEDERAL DA 3ª CRIMINAL DO RIO DE JANEIRO - RJ (200151015135563) EMENTA DIREITO PENAL. ESTELIONATO CONTRA A PREVIDÊNCIA SOCIAL. UTILIZAÇÃO DE VÍNCULOS EMPREGATÍCIOS FICTÍCIOS. TIPO SUBJETIVO CARACTERIZADO. AUTORIA E MATERIALIDADE DEMONSTRADAS. 1. Configura o crime de estelionato contra a Previdência Social, capitulado no artigo 171, § 3º, do Código Penal, a utilização de vínculos empregatícios fictícios para a obtenção de benefício previdenciário, em prejuízo da autarquia previdenciária. 2. A autoria e a materialidade do delito encontram-se demonstradas por meio das provas produzidas no decorrer da ação penal, assim como a presença do elemento subjetivo consubstanciado na utilização de declarações falsas para a obtenção de vantagem indevida para si, em detrimento da autarquia previdenciária. 3. Recursos desprovidos. RELATÓRIO Em 13.11.2002 (fl. 85), foi recebida denúncia do Ministério Público contra MARLY AZEVEDO DA SILVA e VEROCHILE DA SILVA, pela prática do crime previsto no artigo 171, § 3º, do Código Penal, por ter a primeira obtido indevidamente benefício de aposentadoria a que não fazia jus, com o auxílio do segundo denunciado, que foi responsável pela contratação de terceira pessoa para a inserção dos vínculos empregatícios falsos na Carteira de Trabalho e Previdência Social da mesma. Inquérito policial, às fls. 08-84, relatado às fls. 81-84. Folhas de antecedentes criminais dos denunciados, às fls. 79-80 (Verochile da Silva) e 97-99 (Marly Azevedo da Silva). Termo de interrogatório dos réus, às fls. 112-113 (Marly Azevedo da Silva) e 114-115 (Verochile da Silva). Defesas prévias apresentadas, à fl. 117, sem testemunhas arroladas. O Ministério Público e a defesa requereram diligências, respectivamente, às fls. 121, verso, e 125, que foram def eridas, à fl. 135. Alegações finais apresentadas pelo Ministério Público, às fls. 195-202, e pela defesa dos réus, às fls. 207-219. O MM. Juiz Federal da 3ª Vara Criminal do Rio de Janeiro, Dr. Lafredo Lisboa Vieira Lopes, em sentença de fls. 220-226, CONDENOU os acusados MARLY AZEVEDO DA SILVA e VEROCHILE DA SILVA, como incursos nas penas previstas pelo artigo 171, § 3º, do Código Penal, às penas de 2 (dois) anos e 8 (oito) meses de reclusão, em regime aberto, substituídas por duas restritivas de direitos, e ao pagamento de 30 (trinta) dias-multa, fixando cada dia-multa no valor equivalente a 1/30 (um trigésimo) do equivalente ao salário mínimo vigente à época dos fatos. O magistrado sentenciante lastreou a condenação, em síntese, no argumento de que tanto a materialidade quanto a autoria do delito encontram-se suficientemente demonstradas, atestando que, de fato, a ré Marly Azevedo da Silva requereu o beneficio em tela, com a colaboração de seu marido Verochile da Silva, sem preencher os requisitos necessários à sua concessão, uma vez que somente exerceu atividades laborativas durante 4 (quatro) anos na CIA SOTEX DE ROUPAS. Os réus interpuseram recurso de apelação, à fl. 231, apresentando razões recursais, às fls. 237-245, requerendo, inicialmente, o reconhecimento da prescrição da pretensão punitiva estatal. Sustentou, ainda, que a acusação não logrou comprovar a presença do dolo necessário à caracterização do delito em questão, ficando claro que o erro foi gerado única e exclusivamente dentro da autarquia previdenciária, motivo pelo qual se impõe a sua absolvição. O Ministério Público apresentou contra-razões, às fls. 247-250, sustentando, em síntese, que o simples fato de os réus terem impetrado mandado de segurança visando ao restabelecimento do benefício em tela, mesmo sabendo que o mesmo havia sido cancelado por suspeita de irregularidades, já é suficiente para evidenciar o dolo necessário à configuração do tipo penal em exame. O Procurador Regional da República, Dr. Maurício da Rocha Ribeiro, manifestou-se, às fls. 257-263, pelo desprovimento do recurso, sustentando, inicialmente, a não ocorrência da prescrição da pretensão punitiva estatal. No mais, aduz que: (i) a materialidade do delito perpetrado contra a autarquia federal foi comprovada especialmente pelas pesquisas realizadas no bojo do procedimento administrativo, as quais foram confirmadas pelas investigações policiais; (ii) a autoria exsurge incontroversa a partir das declarações prestadas pelos próprios réus, que confir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2026-07-28T00:12:26.117Z</dcterms:created>
  <dcterms:modified xsi:type="dcterms:W3CDTF">2026-07-28T00:12:26.117Z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