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>
      <w:r>
        <w:rPr>
          <w:b/>
          <w:bCs/>
        </w:rPr>
        <w:t xml:space="preserve">Recurso: </w:t>
      </w:r>
      <w:r>
        <w:t xml:space="preserve">RE 349.703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JORGE SCARTEZZINI</w:t>
      </w:r>
    </w:p>
    <w:p/>
    <w:p>
      <w:r>
        <w:t xml:space="preserve">PEQUENA QUANTIDADE — PRINCÍPIO DA INSIGNIFICÂNCIA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ínfima quantidade de droga apreendida (dois decigramas de maconha) em poder do paciente não rende ensejo à aplicação do princípio da insignificância, porquanto trata-se de crime de perigo abstrato, cuja violação ao bem jurídico tutelado (saúde pública) consuma-se com o simples porte, para uso próprio. - Nesse sentido, o percuciente parecer ministerial, secundado, inclusive, por julgado desta Corte: "No que tange à aplicação, in casu, do princípio da insignificância, é pacífico o entendimento de que a quantidade ínfima de entorpecente é irrelevante para a configuração do delito, inscrito no art. 16, da Lei nº 6.368/76, como se lê do aresto abaixo transcrito: Penal - Pequena quantidade de Droga - Princípio da Insignificância - Inaplicabilidade - Delito de Perigo Presumido - Suspensão Condicional do Processo - Requisitos - Não preenchimento. I - O delito inscrito no art. 16, da Lei nº 6.368/76 (posse ilegal de substância entorpecente) é delito de perigo presumido ou abstrato, não importando, para sua caracterização, a quantidade apreendida em poder do infrator, esgotando-se o tipo simplesmente no fato de carregar consigo, para uso próprio, substância entorpecente. II - ...................... III - Recurso desprovido." (STJ - RHC nº 9.483/SP - 5ª T. - Rel. Min. JORGE SCARTEZZINI, DJU 04.09.2000 - p. 169) (f.). - ............................ VOTO VENCIDO DO SR. MINISTRO VICENTE LEAL - ..., estou convencido de que, na hipótese, como já temos decidido, cabe, por inteiro, o princípio da insignificância. A apreensão foi o equivalente a um cigarro de maconha. Entendo que, como citado da tribuna, em precedente desta Turma, incide o princípio da insignificância e não há justa causa para a ação penal. Não havendo justa causa para ação penal, a condenação atenta contra o direito de liberdade e pode ser aplicado o instituto constitucional do habeas corpus para afastar a condenação fundada em fato penalmente irrelevante. - Daí por que, com a devida venia dos ilustres pares, concedo o "habeas corpus" para desconstituir a condenação criminal e trancar o processo penal e, vencido, acompanho V. Exª. para conceder de oficio o "habeas corpus". Ac. de 20-02-2001 VENCIDOS OS MINISTROS FONTES DE ALENCAR E VICENTE LEAL Arquivo do EMFOR, TJRJ/RD58. EMENTÁRIO FORENSE. Junho, 2009. Ano LXI. Nº 727 jeam EMENTA: - É ilícita a prisão civil de depositário infiel, qualquer que seja a modalidade do depósito. RESUMO DO ACÓRDÃO: - ..., com relação à questão da legitimidade da prisão civil do depositário infiel, há orientação recente fixada pelo Plenário desta Corte, que entende ilícita a prisão civil de depositário infiel, qualquer que seja a modalidade do depósito, e, em consequência, cancelando a súmula 619 (cf. RE nº 349.703, rel. p/ ac. Min. GILMAR MENDES; RE nº 466.343, de minha relatoria; HC nº 87.585 e 92.566, rel. Min MARCO AURÉLIO; todos julgados em 03-12-2008. (Vide Informativo nº 53/2008) Ac. de 19-02-2009 DJ nº 84 de 07-05-2009 Ementário nº 2359-3, pág. 520 VENCIDO O SR. MIN. MARCO AURÉLIO Arquivo do EMFOR, STF/N 7388 EMENTÁRIO FORENSE. Junho, 2009. Ano LXI. Nº 727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ínfima quantidade de droga apreendida em poder do paciente não rende ensejo à aplicação do princípio da insignificância, porquanto trata-se de crime de perigo abstrato, cuja violação ao bem jurídico tutelado (saúde pública) consuma-se com o simples porte, para uso próprio. - Se o paciente é reincidente em delito da mesma espécie, além de a substituição da pena privativa de liberdade apresentar-se socialmente inadequada, há expresso veto legal à concessão do benefício (art. 44, § 3º do Código Penal).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2026-10-26T02:33:41.449Z</dcterms:created>
  <dcterms:modified xsi:type="dcterms:W3CDTF">2026-10-26T02:33:41.449Z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