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/>
    <w:p>
      <w:r>
        <w:t xml:space="preserve">24. CRIME MATERIAL CONTRA A ORDEM TRIBUTÁRIA — QUANDO TIPIFICA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24 NÃO SE TIPIFICA CRIME MATERIAL CONTRA A ORDEM TRIBUTÁRIA, PREVISTO NO ART. 1º, INCISOS I A IV, DA LEI Nº 8.137/90, ANTES DO LANÇAMENTO DEFINITIVO DO TRIBUTO. Referência Legislativa: - Constituição Federal de 1988, art. 5º, LV; art. 129, I. - Código Penal, art. 14, I; art. 111, I. - Código Tributário Nacional, art. 142, "caput". - Lei nº 8.137/90, art. 1º, I, II, III e IV. - Lei nº 9.430/96, art. 83. - Lei nº 10.684/03, art. 9º, § 2º. Precedentes: HC 81.611 Publicação: DJ de 13-05-2005 HC 85.185 Publicação: DJ de 01-09-2006 HC 86.120 Publicação: DJ de 26-08-2005 HC 83.353 Publicação: DJ de 16-12-2005 HC 85.463 Publicação: DJ de 10-02-2006 HC 85.428 Publicação: DJ de 10-06-2005 Data de Aprovação: Sessão Plenária de 02-12-2009 DJe nº 232/2009, pág. 001, em 11-12-2009. DOU de 11-12-2009, pág. 001.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2026-10-26T03:41:49.844Z</dcterms:created>
  <dcterms:modified xsi:type="dcterms:W3CDTF">2026-10-26T03:41:49.844Z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