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ESTABELECIMENTO PENAL</w:t>
      </w:r>
    </w:p>
    <w:p/>
    <w:p/>
    <w:p>
      <w:r>
        <w:t xml:space="preserve">05. TÍTULO V
      Da Execução das Penas em Espécie</w:t>
      </w:r>
    </w:p>
    <w:p/>
    <w:p>
      <w:pPr>
        <w:pStyle w:val="Heading2"/>
      </w:pPr>
      <w:r>
        <w:rPr>
          <w:b/>
          <w:bCs/>
        </w:rPr>
        <w:t xml:space="preserve">Ementa</w:t>
      </w:r>
    </w:p>
    <w:p>
      <w:r>
        <w:t xml:space="preserve">TÍTULO V Da Execução das Penas em Espécie CAPÍTULO III Da Suspensão Condicional Art. 156. O Juiz poderá suspender, pelo período de 2 (dois) a 4 (quatro) anos, a execução da pena privativa de liberdade, não superior a 2 (dois) anos, na forma prevista nos artigos 77 a 82 do Código Penal. Art. 157. O Juiz ou Tribunal, na sentença que aplicar pena privativa de liberdade, na situação determinada no artigo anterior, deverá pronunciar-se, motivadamente, sobre a suspensão condicional, quer a conceda, quer a denegue. Art. 158. Concedida a suspensão, o Juiz especificará as condições a que fica sujeito o condenado, pelo prazo fixado, começando este a correr da audiência prevista no artigo 160 desta Lei. § 1º As condições serão adequadas ao fato e à situação pessoal do condenado, devendo ser incluída entre as mesmas a de prestar serviços à comunidade, ou limitação de fim de semana, salvo hipótese do artigo 78, § 2º, do Código Penal. § 2º O Juiz poderá, a qualquer tempo, de ofício, a requerimento do Ministério Público ou mediante proposta do Conselho Penitenciário, modificar as condições e regras estabelecidas na sentença, ouvido o condenado. § 3º A fiscalização do cumprimento das condições, reguladas nos Estados, Territórios e Distrito Federal por normas supletivas, será atribuída a serviço social penitenciário, Patronato, Conselho da Comunidade ou instituição beneficiada com a prestação de serviços, inspecionados pelo Conselho Penitenciário, pelo Ministério Público, ou ambos, devendo o Juiz da execução suprir, por ato, a falta das normas supletivas. § 4º O beneficiário, ao comparecer periodicamente à entidade fiscalizadora, para comprovar a observância das condições a que está sujeito, comunicará, também, a sua ocupação e os salários ou proventos de que vive. § 5º A entidade fiscalizadora deverá comunicar imediatamente ao órgão de inspeção, para os fins legais, qualqu er fato capaz de acarretar a revogação do benefício, a prorrogação do prazo ou a modificação das condições. § 6º Se for permitido ao beneficiário mudar-se, será feita comunicação ao Juiz e à entidade fiscalizadora do local da nova residência, aos quais o primeiro deverá apresentar-se imediatamente. Art. 159. Quando a suspensão condicional da pena for concedida por Tribunal, a este caberá estabelecer as condições do benefício. § 1º De igual modo proceder-se-á quando o Tribunal modificar as condições estabelecidas na sentença recorrida. § 2º O Tribunal, ao conceder a suspensão condicional da pena, poderá, todavia, conferir ao Juízo da execução a incumbência de estabelecer as condições do benefício, e, em qualquer caso, a de realizar a audiência admonitória. Art. 160. Transitada em julgado a sentença condenatória, o Juiz a lerá ao condenado, em audiência, advertindo-o das conseqüências de nova infração penal e do descumprimento das condições impostas. Art. 161. Se, intimado pessoalmente ou por edital com prazo de 20 (vinte) dias, o réu não comparecer injustificadamente à audiência admonitória, a suspensão ficará sem efeito e será executada imediatamente a pena. Art. 162. A revogação da suspensão condicional da pena e a prorrogação do período de prova dar-se-ão na forma do artigo 81 e respectivos parágrafos do Código Penal. Art. 163. A sentença condenatória será registrada, com a nota de suspensão em livro especial do Juízo a que couber a execução da pena. § 1º Revogada a suspensão ou extinta a pena, será o fato averbado à margem do registro. § 2º O registro e a averbação serão sigilosos, salvo para efeito de informações requisitadas por órgão judiciário ou pelo Ministério Público, para instruir processo penal. CAPÍTULO IV Da Pena de Multa Art. 164. Extraída certidão da sentença condenatória com trânsito em julgado, que valerá como título executiv o judicial, o Ministério Público requererá, em autos apartados, a citação do condenado para, no prazo de 10 (dez) dias, pagar o valor da multa ou nomear bens à penhora. § 1º Decorrido o prazo sem o pagamento da multa, ou o depósito da respectiva importância, proceder-se-á à penhora de tantos bens quantos bastem para garantir a execução. § 2º A nomeação de bens à penhora e a posterior execução seguirão o que dispuser a lei processual civil. Art. 165. Se a penhora recair em bem imóvel, os autos apartados serão remetidos ao Juízo Cível para prosseguimento. Art. 166. Recaindo a penhora em outros bens, dar-se-á prosseguimento nos termos do § 2º do artigo 164, desta Lei. Art. 167. A execução da pena de multa será suspensa quando 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2026-07-27T22:56:23.883Z</dcterms:created>
  <dcterms:modified xsi:type="dcterms:W3CDTF">2026-07-27T22:56:23.883Z</dcterms:modified>
</cp:coreProperties>
</file>

<file path=docProps/custom.xml><?xml version="1.0" encoding="utf-8"?>
<Properties xmlns="http://schemas.openxmlformats.org/officeDocument/2006/custom-properties" xmlns:vt="http://schemas.openxmlformats.org/officeDocument/2006/docPropsVTypes"/>
</file>