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INVESTIGAÇÃO DE PATERNIDADE</w:t>
      </w:r>
    </w:p>
    <w:p>
      <w:r>
        <w:rPr>
          <w:i/>
          <w:iCs/>
          <w:color w:val="666666"/>
        </w:rPr>
        <w:t xml:space="preserve">ALIMENTOS PROVISIONAIS</w:t>
      </w:r>
    </w:p>
    <w:p/>
    <w:p>
      <w:r>
        <w:rPr>
          <w:b/>
          <w:bCs/>
        </w:rPr>
        <w:t xml:space="preserve">Recurso: </w:t>
      </w:r>
      <w:r>
        <w:t xml:space="preserve">re 2/9/2008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Julgado em: </w:t>
      </w:r>
      <w:r>
        <w:t xml:space="preserve">29/04/2009</w:t>
      </w:r>
    </w:p>
    <w:p/>
    <w:p>
      <w:r>
        <w:t xml:space="preserve">PUBLICAÇÃO IMPRESSA DE PERIÓDICO — JUSTIÇA FEDERAL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No caso, atribui-se aos investigados, em tese, o cometimento dos crimes previstos nos arts. 20 e 21 c/c art. 23, I, da Lei de 5.250/97 (Lei de Imprensa) ou nos arts. 138 e 139, c/c parágrafo e incs. II e III do art. 141 do Código Penal, por duas seqüências de fatos distintos. - A primeira foi a notícia veiculada na Revista IstoÉ, publicada em 20/7/08, de autoria de Mino Pedrosa e Luiza Villaméa, complementada por outra de 17/9/08, de autoria de Mino Pedrosa e Hugo Marques. - A segunda foram três notas publicadas em 2/9/08 e 9/9/09 no blog "Conversa Afiada" (www.paulohenriqueamorim.com.br), mantido pelo jornalista Paulo Henrique Amorim, publicadas entre 2/9/2008 e 9/9/2008. - Sem adentrar no mérito da aplicação ou não da Lei de Imprensa à segunda seqüência de fatos e apenas para situar historicamente as regras sobre a competência especial dos crimes de imprensa, tem-se que o art. 42 da Lei n 5.250/67 (Lei de Imprensa) previa: Lugar do delito, para a determinação da competência territorial, será aquele em que for impresso o jornal ou periódico, e o do local do estúdio do permissionário ou concessionário do serviço de radiodifusão, bem como o da administração principal da agência noticiosa. - Dessa forma, tratando-se de crimes previstos na Lei de Imprensa, a competência territorial era fixada segundo essa norma especial. - Em 30/4/09, ao julgar procedente a Arguição de Descumprimento de Preceito Fundamental nº 130/D F, de relatoria do eminente Ministro Carlos Britto, o Supremo Tribunal Federal declarou como não recepcionado pela Constituição da República de 1988 todo o conjunto de dispositivos da Lei Federal nº 5.250, de 9/2/67. - Ressaltou-se, ainda, que devem se aplicadas as normas da legislação comum, como o Código Civil, o Código Penal, o Código de Processo Civil e o Código de Processo Penal às causas decorrentes das relações de imprensa. - Esta a ementa do julgado: "EMENTA: ARGUIÇÃO DE DESCUMPRIMENTO DE PRECEITO FUNDAMENTAL (ADPF). LEI DE IMPRENSA. ADEQUAÇÃO DA AÇÃO. REGIME CONSTITUCIONAL DA "LIBERDADE DE INFORMAÇÃO JORNALÍSTICA", EXPRESSÃO SINÔNIMA DE LIBERDADE DE IMPRENSA. A "PLENA" LIBERDADE DE IMPRENSA COMO CATEGORIA JURÍDICA PROIBITIVA DE QUALQUER TIPO DE CENSURA PRÉVIA. A PLENITUDE DA LIBERDADE DE IMPRENSA COMO REFORÇO OU SOBRETUTELA DAS LIBERDADES DE MANIFESTAÇÃO DO PENSAMENTO, DE INFORMAÇÃO E DE EXPRESSÃO ARTÍSTICA, CIENTÍFICA, INTELECTUAL E COMUNICACIONAL. LIBERDADES QUE DÃO CONTEÚDO ÀS RELAÇÕES DE IMPRENSA E QUE SE PÕEM COMO SUPERIORES BENS DE PERSONALIDADE E MAIS DIRETA EMANAÇÃO DO PRINCÍPIO DA DIGNIDADE DA PESSOA HUMANA. O CAPÍTULO CONSTITUCIONAL DA COMUNICAÇÃO SOCIAL COMO SEGMENTO PROLONGADOR DAS LIBERDADES DE MANIFESTAÇÃO DO PENSAMENTO, DE INFORMAÇÃO E DE EXPRESSÃO ARTÍSTICA, CIENTÍFICA, INTELECTUAL E COMUNICACIONAL. TRANSPASSE DA FUNDAMENTALIDADE DOS DIREITOS PROLONGADOS AO CAPÍTULO PROLONGADOR. PONDERAÇÃO DIRETAMENTE CONSTITUCIONAL ENTRE BLOCOS DE BENS DE PERSONALIDADE: O BLOCO DOS DIREITOS QUE DÃO CONTEÚDO À LIBERDADE DE IMPRENSA E O BLOCO DOS DIREITOS À IMAGEM, HONRA, INTIMIDADE E VIDA PRIVADA. PRECEDÊNCIA DO PRIMEIRO BLOCO. INCIDÊNCIA A POSTERIORI DO SEGUNDO BLOCO DE DIREITOS, PARA O EFEITO DE ASSEGURAR O DIREITO DE RESPOSTA E ASSENTAR RESPONSABILIDADES PENAL, CIVIL E ADMINISTRATIVA, ENTRE OUTRAS CONSEQUÊNCIAS DO PLENO GOZO DA LIBERDADE DE IMPRENSA. PECULIAR FÓRMULA CONSTITUCIONAL DE PROTEÇÃO A INTERESSES PRIVADOS QUE, MESMO INCIDINDO A POSTERIORI, ATUA SOBRE AS CAUSAS PARA INIBIR ABUSOS POR PARTE DA IMPRENSA. PROPORCIONALIDADE ENTRE LIBERDADE DE IMPRENSA E RESPONSABILIDADE CIVIL POR DANOS MORAIS E MATERIAIS A TERCEIROS. RELAÇÃO DE MÚTUA CAUSALIDADE ENTRE LIBERDADE DE IMPRENSA E DEMOCRACIA. RELAÇÃO DE INERÊNCIA ENTRE PENSAMENTO CRÍTICO E IMPRENSA LIVRE. A IMPRENSA COMO INSTÂNCIA NATURAL DE FORMAÇÃO DA OPINIÃO PÚBLICA E COMO ALTERNATIVA À VERSÃO OFICIAL DOS FATOS. PROIBIÇÃO DE MONOPOLIZAR OU OLIGOPOLIZAR ÓRGÃOS DE IMPRENSA COMO NOVO E AUTÔNOMO FATOR DE INIBIÇÃO DE ABUSOS. NÚCLEO DA LIBERDADE DE IMPRENSA E MATÉRIAS APENAS PERIFERICAMENTE DE IMPRENSA. AUTORREGULAÇÃO E REGULAÇÃO SOCIAL DA ATIVIDADE DE IMPRENSA. NÃO RECEPÇÃO EM BLOCO DA LEI Nº 5.250/1967 PELA NOVA ORDEM CONSTITUCIONAL. EFEITOS JURÍDICOS DA DECISÃO. PROCEDÊNCIA DA AÇÃO. (...) 10. NÃO RECEPÇÃO EM BLOCO DA LEI 5.250 PELA NOVA ORDEM CONSTITUCIONAL. 10.1. Óbice lógico à confecção de uma lei de imprensa que se orne de compleição estatutária ou orgânica. A própria Constituição, quando o quis, convocou o legislador de segundo escalão para 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Na hipótese de crime contra a honra praticado por meio de publicação impressa de periódico, deve-se fixar a competência do Juízo onde ocorreu a impressão, tendo em vista ser o primeiro local onde as matérias produzidas chegaram ao conhecimento de outrem, nos moldes do art. 70 do Código de Processo Penal. Remanesce, na prática, o resultado processual obtido pela antiga aplicação da regra de competência prevista na não recepcionada Lei de Imprensa.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2026-09-10T23:20:25.361Z</dcterms:created>
  <dcterms:modified xsi:type="dcterms:W3CDTF">2026-09-10T23:20:25.361Z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