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re 2/9/2008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29/04/2009</w:t>
      </w:r>
    </w:p>
    <w:p/>
    <w:p>
      <w:r>
        <w:t xml:space="preserve">PUBLICAÇÃO IMPRESSA DE PERIÓDICO — JUSTIÇA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caso, atribui-se aos investigados, em tese, o cometimento dos crimes previstos nos arts. 20 e 21 c/c art. 23, I, da Lei de 5.250/97 (Lei de Imprensa) ou nos arts. 138 e 139, c/c parágrafo e incs. II e III do art. 141 do Código Penal, por duas seqüências de fatos distintos. - A primeira foi a notícia veiculada na Revista IstoÉ, publicada em 20/7/08, de autoria de Mino Pedrosa e Luiza Villaméa, complementada por outra de 17/9/08, de autoria de Mino Pedrosa e Hugo Marques. - A segunda foram três notas publicadas em 2/9/08 e 9/9/09 no blog "Conversa Afiada" (www.paulohenriqueamorim.com.br), mantido pelo jornalista Paulo Henrique Amorim, publicadas entre 2/9/2008 e 9/9/2008. - Sem adentrar no mérito da aplicação ou não da Lei de Imprensa à segunda seqüência de fatos e apenas para situar historicamente as regras sobre a competência especial dos crimes de imprensa, tem-se que o art. 42 da Lei n 5.250/67 (Lei de Imprensa) previa: Lugar do delito, para a determinação da competência territorial, será aquele em que for impresso o jornal ou periódico, e o do local do estúdio do permissionário ou concessionário do serviço de radiodifusão, bem como o da administração principal da agência noticiosa. - Dessa forma, tratando-se de crimes previstos na Lei de Imprensa, a competência territorial era fixada segundo essa norma especial. - Em 30/4/09, ao julgar procedente a Arguição de Descumprimento de Preceito Fundamental nº 130/D F, de relatoria do eminente Ministro Carlos Britto, o Supremo Tribunal Federal declarou como não recepcionado pela Constituição da República de 1988 todo o conjunto de dispositivos da Lei Federal nº 5.250, de 9/2/67. - Ressaltou-se, ainda, que devem se aplicadas as normas da legislação comum, como o Código Civil, o Código Penal, o Código de Processo Civil e o Código de Processo Penal às causas decorrentes das relações de imprensa. - Esta a ementa do julgado: "EMENTA: ARGUIÇÃO DE DESCUMPRIMENTO DE PRECEITO FUNDAMENTAL (ADPF). LEI DE IMPRENSA. ADEQUAÇÃO DA AÇÃO. REGIME CONSTITUCIONAL DA "LIBERDADE DE INFORMAÇÃO JORNALÍSTICA", EXPRESSÃO SINÔNIMA DE LIBERDADE DE IMPRENSA. A "PLENA" LIBERDADE DE IMPRENSA COMO CATEGORIA JURÍDICA PROIBITIVA DE QUALQUER TIPO DE CENSURA PRÉVIA. A PLENITUDE DA LIBERDADE DE IMPRENSA COMO REFORÇO OU SOBRETUTELA DAS LIBERDADES DE MANIFESTAÇÃO DO PENSAMENTO, DE INFORMAÇÃO E DE EXPRESSÃO ARTÍSTICA, CIENTÍFICA, INTELECTUAL E COMUNICACIONAL. LIBERDADES QUE DÃO CONTEÚDO ÀS RELAÇÕES DE IMPRENSA E QUE SE PÕEM COMO SUPERIORES BENS DE PERSONALIDADE E MAIS DIRETA EMANAÇÃO DO PRINCÍPIO DA DIGNIDADE DA PESSOA HUMANA. O CAPÍTULO CONSTITUCIONAL DA COMUNICAÇÃO SOCIAL COMO SEGMENTO PROLONGADOR DAS LIBERDADES DE MANIFESTAÇÃO DO PENSAMENTO, DE INFORMAÇÃO E DE EXPRESSÃO ARTÍSTICA, CIENTÍFICA, INTELECTUAL E COMUNICACIONAL. TRANSPASSE DA FUNDAMENTALIDADE DOS DIREITOS PROLONGADOS AO CAPÍTULO PROLONGADOR. PONDERAÇÃO DIRETAMENTE CONSTITUCIONAL ENTRE BLOCOS DE BENS DE PERSONALIDADE: O BLOCO DOS DIREITOS QUE DÃO CONTEÚDO À LIBERDADE DE IMPRENSA E O BLOCO DOS DIREITOS À IMAGEM, HONRA, INTIMIDADE E VIDA PRIVADA. PRECEDÊNCIA DO PRIMEIRO BLOCO. INCIDÊNCIA A POSTERIORI DO SEGUNDO BLOCO DE DIREITOS, PARA O EFEITO DE ASSEGURAR O DIREITO DE RESPOSTA E ASSENTAR RESPONSABILIDADES PENAL, CIVIL E ADMINISTRATIVA, ENTRE OUTRAS CONSEQUÊNCIAS DO PLENO GOZO DA LIBERDADE DE IMPRENSA. PECULIAR FÓRMULA CONSTITUCIONAL DE PROTEÇÃO A INTERESSES PRIVADOS QUE, MESMO INCIDINDO A POSTERIORI, ATUA SOBRE AS CAUSAS PARA INIBIR ABUSOS POR PARTE DA IMPRENSA. PROPORCIONALIDADE ENTRE LIBERDADE DE IMPRENSA E RESPONSABILIDADE CIVIL POR DANOS MORAIS E MATERIAIS A TERCEIROS. RELAÇÃO DE MÚTUA CAUSALIDADE ENTRE LIBERDADE DE IMPRENSA E DEMOCRACIA. RELAÇÃO DE INERÊNCIA ENTRE PENSAMENTO CRÍTICO E IMPRENSA LIVRE. A IMPRENSA COMO INSTÂNCIA NATURAL DE FORMAÇÃO DA OPINIÃO PÚBLICA E COMO ALTERNATIVA À VERSÃO OFICIAL DOS FATOS. PROIBIÇÃO DE MONOPOLIZAR OU OLIGOPOLIZAR ÓRGÃOS DE IMPRENSA COMO NOVO E AUTÔNOMO FATOR DE INIBIÇÃO DE ABUSOS. NÚCLEO DA LIBERDADE DE IMPRENSA E MATÉRIAS APENAS PERIFERICAMENTE DE IMPRENSA. AUTORREGULAÇÃO E REGULAÇÃO SOCIAL DA ATIVIDADE DE IMPRENSA. NÃO RECEPÇÃO EM BLOCO DA LEI Nº 5.250/1967 PELA NOVA ORDEM CONSTITUCIONAL. EFEITOS JURÍDICOS DA DECISÃO. PROCEDÊNCIA DA AÇÃO. (...) 10. NÃO RECEPÇÃO EM BLOCO DA LEI 5.250 PELA NOVA ORDEM CONSTITUCIONAL. 10.1. Óbice lógico à confecção de uma lei de imprensa que se orne de compleição estatutária ou orgânica. A própria Constituição, quando o quis, convocou o legislador de segundo escalão para 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hipótese de crime contra a honra praticado por meio de publicação impressa de periódico, deve-se fixar a competência do Juízo onde ocorreu a impressão, tendo em vista ser o primeiro local onde as matérias produzidas chegaram ao conhecimento de outrem, nos moldes do art. 70 do Código de Processo Penal. Remanesce, na prática, o resultado processual obtido pela antiga aplicação da regra de competência prevista na não recepcionada Lei de Imprensa.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2026-06-17T16:53:21.169Z</dcterms:created>
  <dcterms:modified xsi:type="dcterms:W3CDTF">2026-06-17T16:53:21.169Z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