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REPOSIÇÃO DE VALORES RECEBIDOS</w:t>
      </w:r>
    </w:p>
    <w:p/>
    <w:p>
      <w:r>
        <w:rPr>
          <w:b/>
          <w:bCs/>
        </w:rPr>
        <w:t xml:space="preserve">Recurso: </w:t>
      </w:r>
      <w:r>
        <w:t xml:space="preserve">RESP 664856/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11/09/2006</w:t>
      </w:r>
    </w:p>
    <w:p/>
    <w:p>
      <w:r>
        <w:t xml:space="preserve">SANÇÕES DO ART. 12 DA LEI DE IMPROBIDADE — CUMULAÇÃO DE PENAS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Quanto ao recurso especial do MISTÉRIO PÚBLICO, deve ele ser conhecido, contudo improvido. - Dispõe o art. 12 Lei 8.429/92 que, na hipótese de ocorrência de ato de improbidade, como previsto no art. 11 da mesma lei, fica o infrator sujeito às seguintes cominações: a) ressarcimento integral do dano, se houver; b) perda da função pública; c) suspensão dos direitos políticos de três a cinco anos d) pagamento de multa civil de até cem vezes o valor da remuneração percebida pelo agente; e e) proibição de contratar com o Poder Público ou receber benefícios ou incentivos fiscais ou creditícios, direta ou indiretamente, ainda que por intermédio de pessoa jurídica da qual seja sócio majoritário, pelo prazo de três anos. - Contudo, consoante jurisprudência desta Corte, as penas do art. 12 da Lei 8.429/92 não são aplicadas necessariamente de forma cumulativa, como demonstram os precedentes seguintes: "ADMINISTRATIVO. LEI DE IMPROBIDADE ADMINISTRATIVA. PRINCÍPIO DA PROPORCIONALIDADE. DISCRICIONARIEDADE DO JULGADOR NA APLICAÇÃO DAS PENALIDADES. REEXAME DE MATÉRIA FÁTICA. SÚMULA N.° 07/STJ. 1. Ação Civil Pública ajuizada pelo Ministério Estadual em face de ex-prefeito, por ato de improbidade administrativa, causador de lesão ao erário público e atentatório dos princípios da Administração Pública, consubstanciado na permissão a particulares de uso de bens imóveis públicos, sem permissão legal, enquanto do exercício do cargo eletivo. 2. As sanções do ar t. 12, da Lei n.° 8.429/92 não são necessariamente cumulativas, cabendo ao magistrado a sua dosimetria; aliás, como deixa entrever o parágrafo único do mesmo dispositivo. 3. O espectro sancionatório da lei induz interpretação que deve conduzir à dosimetria relacionada à exemplariedade e à correlação da sanção, critérios que compõem a razoabilidade da punição, sempre prestigiada pela jurisprudência do E. STJ. Precedentes: RESP 664856/PR, desta relatoria, DJ de 02.05.2006; RESP 507574/MG, Relator Ministro Teori Zavascki, DJ de 08.05.2006; RESP 513.576/MG, Relator p/ acórdão Ministro Teori Zavascki, DJ de 06.03.2006; RESP 291.747, Relator Ministro Humberto Gomes de Barros, DJ de 18/03/2002; RESP 300.184/SP, Relator Ministro Franciulli Netto, DJ de 03.11.2003 e RESP 505.068/PR, desta relatoria, DJ de 29.09.2003. 4. A sanção imposta ao agente público, ora recorrido, decorrente de ampla cognição acerca do contexto fático probatório engendrada pelo Tribunal local à luz da razoabilidade não revela violação da lei, mercê de sua avaliação, em sede de recurso especial, impor a análise dos fatos da causa para fins de ajuste da sanção, que esbarra no óbice erigido pela Súmula 07/STJ. Precedentes do STJ: (RESP 825673/MG, Relator Ministro Francisco Falcão, DJ de 25.05.2006 e RESP 505068/PR, desta relatoria, DJ de 29.09.2003.' 6. In casu, o Ministério Público Estadual ajuizou Ação Civil Pública em face de ex-prefeito, por ato de improbidade administrativa, consubstanciado na permissão a particulares de uso de bens imóveis públicos, sem permissão legal, enquanto no exercício do cargo eletivo e o Tribunal de Justiça do Estado do Rio Grande do Sul, em sede de apelação interposta pelo Parquet Estadual, deu provimento ao recurso para determinar que o réu procedesse ao ressarcimento dos prejuízos causados ao erário. 7. Recurso especial desprovido." (REsp 631.301/RS, Rel. Ministro LUIZ FUX, PRIMEIRA TURMA, julgado em 12.09.2006, DJ 25.09.2006 p. 234) "PROCESSUAL CIVIL. RECURSO ESPECIAL. JULGAMENTO EXTRA PETITA. MATÉRIA DE FATO. SÚMULA 7/STJ. AÇÃO CIVIL PÚBLICA. IMPROBIDADE ADMINISTRATIVA. SENTENÇA DE PROCEDÊNCIA. AUSÊNCIA DE FUNDAMENTAÇÃO PARA A PENA APLICADA. NULIDADE. 1. A ofensa à lei federal, para ensejar recurso especial, deve ser direta, como tal considerada a que decorre de dicção contrária ao preceito normativo. Não tendo o acórdão recorrido afirmado a possibilidade de adoção, como fundamento para a condenação, de causa de fato não veiculada na inicial, inexiste controvérsia sobre a interpretação dos arts. 128 e 460 do CPC a ser dirimida por esta Corte. A investigação a respeito de ter sido invocada matéria de fato estranha à causa de pedir posta na inicial, é atividade que consiste, não em juízo sobre o conteúdo de norma federal, e sim a respeito do conteúdo da petição inicial e de sua confrontação com os fundamentos do acórdão recorrido. Trata-se de atividade estranha ao âmbito constitucional do recurso especial, vedada pela Súmula 7/STJ. 2. Havendo, na Lei 8.492/92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as penas do art. 12 da Lei 8.429/92 não são aplicadas necessariamente de forma cumulativa, do que decorre a necessidade de se fundamentar o porquê da escolha das penas aplicadas, bem como da sua cumulação, de acordo com fatos e provas abstraídos dos autos, o que não pode ser feito em sede de recurso especial, diante do óbice da Súmula 7/STJ.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2026-07-28T00:01:41.537Z</dcterms:created>
  <dcterms:modified xsi:type="dcterms:W3CDTF">2026-07-28T00:01:41.537Z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