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REPOSIÇÃO DE VALORES RECEBIDOS</w:t>
      </w:r>
    </w:p>
    <w:p/>
    <w:p>
      <w:r>
        <w:rPr>
          <w:b/>
          <w:bCs/>
        </w:rPr>
        <w:t xml:space="preserve">Recurso: </w:t>
      </w:r>
      <w:r>
        <w:t xml:space="preserve">RESP 664856/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>
      <w:r>
        <w:rPr>
          <w:b/>
          <w:bCs/>
        </w:rPr>
        <w:t xml:space="preserve">Julgado em: </w:t>
      </w:r>
      <w:r>
        <w:t xml:space="preserve">11/09/2006</w:t>
      </w:r>
    </w:p>
    <w:p/>
    <w:p>
      <w:r>
        <w:t xml:space="preserve">SANÇÕES DO ART. 12 DA LEI DE IMPROBIDADE — CUMULAÇÃO DE PENAS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Quanto ao recurso especial do MISTÉRIO PÚBLICO, deve ele ser conhecido, contudo improvido. - Dispõe o art. 12 Lei 8.429/92 que, na hipótese de ocorrência de ato de improbidade, como previsto no art. 11 da mesma lei, fica o infrator sujeito às seguintes cominações: a) ressarcimento integral do dano, se houver; b) perda da função pública; c) suspensão dos direitos políticos de três a cinco anos d) pagamento de multa civil de até cem vezes o valor da remuneração percebida pelo agente; e e) proibição de contratar com o Poder Público ou receber benefícios ou incentivos fiscais ou creditícios, direta ou indiretamente, ainda que por intermédio de pessoa jurídica da qual seja sócio majoritário, pelo prazo de três anos. - Contudo, consoante jurisprudência desta Corte, as penas do art. 12 da Lei 8.429/92 não são aplicadas necessariamente de forma cumulativa, como demonstram os precedentes seguintes: "ADMINISTRATIVO. LEI DE IMPROBIDADE ADMINISTRATIVA. PRINCÍPIO DA PROPORCIONALIDADE. DISCRICIONARIEDADE DO JULGADOR NA APLICAÇÃO DAS PENALIDADES. REEXAME DE MATÉRIA FÁTICA. SÚMULA N.° 07/STJ. 1. Ação Civil Pública ajuizada pelo Ministério Estadual em face de ex-prefeito, por ato de improbidade administrativa, causador de lesão ao erário público e atentatório dos princípios da Administração Pública, consubstanciado na permissão a particulares de uso de bens imóveis públicos, sem permissão legal, enquanto do exercício do cargo eletivo. 2. As sanções do ar t. 12, da Lei n.° 8.429/92 não são necessariamente cumulativas, cabendo ao magistrado a sua dosimetria; aliás, como deixa entrever o parágrafo único do mesmo dispositivo. 3. O espectro sancionatório da lei induz interpretação que deve conduzir à dosimetria relacionada à exemplariedade e à correlação da sanção, critérios que compõem a razoabilidade da punição, sempre prestigiada pela jurisprudência do E. STJ. Precedentes: RESP 664856/PR, desta relatoria, DJ de 02.05.2006; RESP 507574/MG, Relator Ministro Teori Zavascki, DJ de 08.05.2006; RESP 513.576/MG, Relator p/ acórdão Ministro Teori Zavascki, DJ de 06.03.2006; RESP 291.747, Relator Ministro Humberto Gomes de Barros, DJ de 18/03/2002; RESP 300.184/SP, Relator Ministro Franciulli Netto, DJ de 03.11.2003 e RESP 505.068/PR, desta relatoria, DJ de 29.09.2003. 4. A sanção imposta ao agente público, ora recorrido, decorrente de ampla cognição acerca do contexto fático probatório engendrada pelo Tribunal local à luz da razoabilidade não revela violação da lei, mercê de sua avaliação, em sede de recurso especial, impor a análise dos fatos da causa para fins de ajuste da sanção, que esbarra no óbice erigido pela Súmula 07/STJ. Precedentes do STJ: (RESP 825673/MG, Relator Ministro Francisco Falcão, DJ de 25.05.2006 e RESP 505068/PR, desta relatoria, DJ de 29.09.2003.' 6. In casu, o Ministério Público Estadual ajuizou Ação Civil Pública em face de ex-prefeito, por ato de improbidade administrativa, consubstanciado na permissão a particulares de uso de bens imóveis públicos, sem permissão legal, enquanto no exercício do cargo eletivo e o Tribunal de Justiça do Estado do Rio Grande do Sul, em sede de apelação interposta pelo Parquet Estadual, deu provimento ao recurso para determinar que o réu procedesse ao ressarcimento dos prejuízos causados ao erário. 7. Recurso especial desprovido." (REsp 631.301/RS, Rel. Ministro LUIZ FUX, PRIMEIRA TURMA, julgado em 12.09.2006, DJ 25.09.2006 p. 234) "PROCESSUAL CIVIL. RECURSO ESPECIAL. JULGAMENTO EXTRA PETITA. MATÉRIA DE FATO. SÚMULA 7/STJ. AÇÃO CIVIL PÚBLICA. IMPROBIDADE ADMINISTRATIVA. SENTENÇA DE PROCEDÊNCIA. AUSÊNCIA DE FUNDAMENTAÇÃO PARA A PENA APLICADA. NULIDADE. 1. A ofensa à lei federal, para ensejar recurso especial, deve ser direta, como tal considerada a que decorre de dicção contrária ao preceito normativo. Não tendo o acórdão recorrido afirmado a possibilidade de adoção, como fundamento para a condenação, de causa de fato não veiculada na inicial, inexiste controvérsia sobre a interpretação dos arts. 128 e 460 do CPC a ser dirimida por esta Corte. A investigação a respeito de ter sido invocada matéria de fato estranha à causa de pedir posta na inicial, é atividade que consiste, não em juízo sobre o conteúdo de norma federal, e sim a respeito do conteúdo da petição inicial e de sua confrontação com os fundamentos do acórdão recorrido. Trata-se de atividade estranha ao âmbito constitucional do recurso especial, vedada pela Súmula 7/STJ. 2. Havendo, na Lei 8.492/92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as penas do art. 12 da Lei 8.429/92 não são aplicadas necessariamente de forma cumulativa, do que decorre a necessidade de se fundamentar o porquê da escolha das penas aplicadas, bem como da sua cumulação, de acordo com fatos e provas abstraídos dos autos, o que não pode ser feito em sede de recurso especial, diante do óbice da Súmula 7/STJ.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2026-10-26T04:18:08.800Z</dcterms:created>
  <dcterms:modified xsi:type="dcterms:W3CDTF">2026-10-26T04:18:08.800Z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