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DIREITO DOS COMPANHEIROS</w:t>
      </w:r>
    </w:p>
    <w:p>
      <w:r>
        <w:rPr>
          <w:i/>
          <w:iCs/>
          <w:color w:val="666666"/>
        </w:rPr>
        <w:t xml:space="preserve">UNIÃO ENTRE HOMOSSEXUAIS</w:t>
      </w:r>
    </w:p>
    <w:p/>
    <w:p>
      <w:r>
        <w:rPr>
          <w:b/>
          <w:bCs/>
        </w:rPr>
        <w:t xml:space="preserve">Recurso: </w:t>
      </w:r>
      <w:r>
        <w:t xml:space="preserve">recurso especial .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DISSOLUÇÃO — HOMEM COM MAIS DE SESSENTA ANOS - REGIME DE SEPARAÇÃO OBRIGATÓRIA -  - PROVA DO ESFORÇO COMUM - APLICAÇÃO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..., o recurso examina a questão da impossibilidade de divisão dos bens adquiridos na constância da união estável. Embora sem questionar a aplicação do art. 258, parágrafo único, II, do Código Civil de 1916, afirma que "sua incidência à união estável deve-se justamente para evitar-se quaisquer fraudes, impedindo os casais com o óbice do art. 258, parágrafo único, II do Código Civil de 1.916 viessem a burlar o regime da separação obrigatória, mantendo entre si somente uma união estável para que pudesse haver a indevida partilha de bens" (fl.). Todavia, a aplicação feita pelo Tribunal de origem acabou por violá-lo. Para os recorrentes, a Súmula nº 377 do Supremo Tribunal Federal impõe que a "comunicabilidade restringe-se apenas aos aquestos, ou seja, bens comuns havidos na constância do casamento oriundos do esforço comum do casal" (fl.). - Sem dúvida que esse ponto é central na questão sob julgamento, de resto, muito bem construído no recurso especial. Devemos, portanto, desafiá-lo, considerando que não há dúvida sobre o prequestionamento. - Como sabem todos, tenho já assentado entendimento sobre o tema da união estável, diversas vezes reiterado, no sentido de que a partir da Constituição Federal de 1988 aplica-se o regime da comunhão parcial, valendo a contribuição direta ou indireta do casal, sem co gitar especificamente do esforço comum financeiro para a divisão do patrimônio adquirido durante a convivência (cfr. Estudos de Direito Público e Privado, RENOVAR, 2005, págs. 163 e segs.). Sob esse aspecto, o acórdão explicitou que a partilha deveria ser feita independente da contribuição financeira de qualquer das partes, partindo do pressuposto de que há contribuição direta ou indireta para a formação do patrimônio. Em tese, o acórdão admitiu que houve contribuição indireta, apenas excluindo a financeira, o que não pode ser descartado sendo essa a orientação que o Código Civil de 2002 passou a agasalhar ao determinar, no art. 1.725, que se aplica na união estável, salvo a existência de pacto escrito entre os companheiros, o regime da separação legal. Por outro lado, quando desfeita a união estável já estava em vigor a Lei nº 9.278/96, que, no art. 5º, estabeleceu a divisão do patrimônio independente da prova do esforço comum, porquanto admitiu que os bens adquiridos durante a constância da união estável "são considerados frutos do trabalho e da colaboração comum, passando a pertencer a ambos, em condomínio e em partes iguais, salvo estipulação em contrário em contrato escrito". E nessa linha marcha a jurisprudência da Corte, isto é, para as uniões desfeitas após a vigência desta Lei não depende a partilha da prova do esforço comum (REsp nº 439.421/PE, Terceira Turma, Relator o Ministro Ari Pargendler, DJ de 9/6/03). Tenho, portanto, que seja no que se refere ao meu antigo posicionamento pessoal, seja no que se refere ao que dispôs o acórdão sobre a contribuição direta ou indireta, seja no que se refere à aplicação da Lei nº 9.278/96, seja, enfim, no que se refere à jurisprudência da Corte mais recente sobre a mencionada Lei, a partilha, como feita pelo acórdão, não é suscetível da bem alinhavada impugnação feita no especial. - Caberia examinar, entretanto, uma circunstância destacada no acórdão e no especial em sentidos opostos. É que neste fei to aplicou-se o regime do art. 258, parágrafo único, II, do Código Civil de 1916 sob a consolidação jurisprudencial da Súmula nº 377 do Supremo Tribunal Federal. Aqui, o especial insiste em que houve violação, porquanto o acórdão teria determinado a partilha dos aqüestos "independentemente de ter havido real contribuição financeira por parte do outro convivente. Parte-se do pressuposto que o outro convivente contribui, direta ou indiretamente, para a formação do patrimônio comum, razão pela qual o mesmo é de ser dividido, evitando-se o enriquecimento sem causa. Irrelevantes, portanto, as alegações dos apelantes no sentido de que os bens adquiridos durante união estável foram comprados unicamente com o fruto do trabalho do Sr. N.B." (fl.). Mas traz o especial um argumento que merece reflexão, qual seja, o de que o acórdão teria violado o dispositivo pelo fato de não fazer diferença entre o regime da comunhão parcial e o da separação legal, deduzido nos termos que se seguem: "(...) De que adiantaria toda a proteção dada aos sexagenários pela lei, 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Para os efeitos da Súmula nº 377 do Supremo Tribunal Federal não se exige a prova do esforço comum para partilhar o patrimônio adquirido na constância da união. Na verdade, para a evolução jurisprudencial e legal, já agora com o art. 1.725 do Código Civil de 2002, o que vale é a vida em comum, não sendo significativo avaliar a contribuição financeira, mas, sim, a participação direta e indireta representada pela solidariedade que deve unir o casal, medida pela comunhão da vida, na presença em todos os momentos da convivência, base da família, fonte do êxito pessoal e profissional de seus membros.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2026-10-26T05:27:02.648Z</dcterms:created>
  <dcterms:modified xsi:type="dcterms:W3CDTF">2026-10-26T05:27:02.648Z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