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DIREITO DOS COMPANHEIROS</w:t>
      </w:r>
    </w:p>
    <w:p>
      <w:r>
        <w:rPr>
          <w:i/>
          <w:iCs/>
          <w:color w:val="666666"/>
        </w:rPr>
        <w:t xml:space="preserve">UNIÃO ENTRE HOMOSSEXUAIS</w:t>
      </w:r>
    </w:p>
    <w:p/>
    <w:p>
      <w:r>
        <w:rPr>
          <w:b/>
          <w:bCs/>
        </w:rPr>
        <w:t xml:space="preserve">Recurso: </w:t>
      </w:r>
      <w:r>
        <w:t xml:space="preserve">recurso especial .</w:t>
      </w:r>
    </w:p>
    <w:p>
      <w:r>
        <w:rPr>
          <w:b/>
          <w:bCs/>
        </w:rPr>
        <w:t xml:space="preserve">Tribunal: </w:t>
      </w:r>
      <w:r>
        <w:t xml:space="preserve">STJ</w:t>
      </w:r>
    </w:p>
    <w:p/>
    <w:p>
      <w:r>
        <w:t xml:space="preserve">DISSOLUÇÃO — HOMEM COM MAIS DE SESSENTA ANOS - REGIME DE SEPARAÇÃO OBRIGATÓRIA -  - PROVA DO ESFORÇO COMUM - APLICAÇÃO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..., o recurso examina a questão da impossibilidade de divisão dos bens adquiridos na constância da união estável. Embora sem questionar a aplicação do art. 258, parágrafo único, II, do Código Civil de 1916, afirma que "sua incidência à união estável deve-se justamente para evitar-se quaisquer fraudes, impedindo os casais com o óbice do art. 258, parágrafo único, II do Código Civil de 1.916 viessem a burlar o regime da separação obrigatória, mantendo entre si somente uma união estável para que pudesse haver a indevida partilha de bens" (fl.). Todavia, a aplicação feita pelo Tribunal de origem acabou por violá-lo. Para os recorrentes, a Súmula nº 377 do Supremo Tribunal Federal impõe que a "comunicabilidade restringe-se apenas aos aquestos, ou seja, bens comuns havidos na constância do casamento oriundos do esforço comum do casal" (fl.). - Sem dúvida que esse ponto é central na questão sob julgamento, de resto, muito bem construído no recurso especial. Devemos, portanto, desafiá-lo, considerando que não há dúvida sobre o prequestionamento. - Como sabem todos, tenho já assentado entendimento sobre o tema da união estável, diversas vezes reiterado, no sentido de que a partir da Constituição Federal de 1988 aplica-se o regime da comunhão parcial, valendo a contribuição direta ou indireta do casal, sem co gitar especificamente do esforço comum financeiro para a divisão do patrimônio adquirido durante a convivência (cfr. Estudos de Direito Público e Privado, RENOVAR, 2005, págs. 163 e segs.). Sob esse aspecto, o acórdão explicitou que a partilha deveria ser feita independente da contribuição financeira de qualquer das partes, partindo do pressuposto de que há contribuição direta ou indireta para a formação do patrimônio. Em tese, o acórdão admitiu que houve contribuição indireta, apenas excluindo a financeira, o que não pode ser descartado sendo essa a orientação que o Código Civil de 2002 passou a agasalhar ao determinar, no art. 1.725, que se aplica na união estável, salvo a existência de pacto escrito entre os companheiros, o regime da separação legal. Por outro lado, quando desfeita a união estável já estava em vigor a Lei nº 9.278/96, que, no art. 5º, estabeleceu a divisão do patrimônio independente da prova do esforço comum, porquanto admitiu que os bens adquiridos durante a constância da união estável "são considerados frutos do trabalho e da colaboração comum, passando a pertencer a ambos, em condomínio e em partes iguais, salvo estipulação em contrário em contrato escrito". E nessa linha marcha a jurisprudência da Corte, isto é, para as uniões desfeitas após a vigência desta Lei não depende a partilha da prova do esforço comum (REsp nº 439.421/PE, Terceira Turma, Relator o Ministro Ari Pargendler, DJ de 9/6/03). Tenho, portanto, que seja no que se refere ao meu antigo posicionamento pessoal, seja no que se refere ao que dispôs o acórdão sobre a contribuição direta ou indireta, seja no que se refere à aplicação da Lei nº 9.278/96, seja, enfim, no que se refere à jurisprudência da Corte mais recente sobre a mencionada Lei, a partilha, como feita pelo acórdão, não é suscetível da bem alinhavada impugnação feita no especial. - Caberia examinar, entretanto, uma circunstância destacada no acórdão e no especial em sentidos opostos. É que neste fei to aplicou-se o regime do art. 258, parágrafo único, II, do Código Civil de 1916 sob a consolidação jurisprudencial da Súmula nº 377 do Supremo Tribunal Federal. Aqui, o especial insiste em que houve violação, porquanto o acórdão teria determinado a partilha dos aqüestos "independentemente de ter havido real contribuição financeira por parte do outro convivente. Parte-se do pressuposto que o outro convivente contribui, direta ou indiretamente, para a formação do patrimônio comum, razão pela qual o mesmo é de ser dividido, evitando-se o enriquecimento sem causa. Irrelevantes, portanto, as alegações dos apelantes no sentido de que os bens adquiridos durante união estável foram comprados unicamente com o fruto do trabalho do Sr. N.B." (fl.). Mas traz o especial um argumento que merece reflexão, qual seja, o de que o acórdão teria violado o dispositivo pelo fato de não fazer diferença entre o regime da comunhão parcial e o da separação legal, deduzido nos termos que se seguem: "(...) De que adiantaria toda a proteção dada aos sexagenários pela lei, s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Para os efeitos da Súmula nº 377 do Supremo Tribunal Federal não se exige a prova do esforço comum para partilhar o patrimônio adquirido na constância da união. Na verdade, para a evolução jurisprudencial e legal, já agora com o art. 1.725 do Código Civil de 2002, o que vale é a vida em comum, não sendo significativo avaliar a contribuição financeira, mas, sim, a participação direta e indireta representada pela solidariedade que deve unir o casal, medida pela comunhão da vida, na presença em todos os momentos da convivência, base da família, fonte do êxito pessoal e profissional de seus membros.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2026-09-11T00:28:47.311Z</dcterms:created>
  <dcterms:modified xsi:type="dcterms:W3CDTF">2026-09-11T00:28:47.311Z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