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DOS COMPANHEIROS</w:t>
      </w:r>
    </w:p>
    <w:p>
      <w:r>
        <w:rPr>
          <w:i/>
          <w:iCs/>
          <w:color w:val="666666"/>
        </w:rPr>
        <w:t xml:space="preserve">UNIÃO ENTRE HOMOSSEXUAIS</w:t>
      </w:r>
    </w:p>
    <w:p/>
    <w:p>
      <w:r>
        <w:rPr>
          <w:b/>
          <w:bCs/>
        </w:rPr>
        <w:t xml:space="preserve">Recurso: </w:t>
      </w:r>
      <w:r>
        <w:t xml:space="preserve">Recurso Especial 646.259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OBRIGATORIEDADE — INSTITUTO MENOR - DISCREPÂNCIA - INTERPRETAÇÃO DA SÚMULA - ESFORÇO PRESUMIDO - ALCANCE DA CAUTELA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UNIÃO ESTÁVEL E A SEPARAÇÃO OBRIGATÓRIA DE BENS Quando um casal desenvolve uma relação afetiva contínua e duradoura, conhecida publicamente e estabelece a vontade de constituir uma família, essa relação pode ser reconhecida como união estável, de acordo com o Código Civil de 2002 (CC/02). Esse instituto também é legitimado pela Constituição Federal de 1988 em seu artigo 226, parágrafo 3o. Por ser uma união que em muito se assemelha ao casamento, a jurisprudência do Superior Tribunal de Justiça (STJ) tem aplicado às uniões estáveis, por extensão, alguns direitos previstos para o vínculo conjugal do casamento. Na união estável, o regime de bens a ser seguido pelo casal, assim como no casamento, vai dispor sobre a comunicação do patrimônio dos companheiros durante a relação e também ao término dela, na hipótese de dissolução do vínculo pela separação ou pela morte de um dos parceiros. Dessa forma, há reflexos na partilha e na sucessão dos bens, ou seja, na transmissão da herança. O artigo 1.725 do CC/02 estabelece que o regime a ser aplicado às relações patrimoniais do casal em união estável é o de comunhão parcial dos bens, salvo contrato escrito entre companheiros. Mas o que acontece no caso de um casal que adquire união estável quando um dos companheiros já possui idade superior a setenta anos? É justamente em virtude desse dispositivo que vários recursos chegam ao STJ, para que os ministros estabeleçam teses, divulguem o pensamento e a jurisprudência dessa Corte sobre o tema da separação obrigatória de bens e se esse instituto pode ou não ser estendido à união estável. Antes de conhecer alguns casos julgados no Tribunal, é válido lembrar que o direito de família brasileiro estabeleceu as seguintes possibilidades de regime de comunicação dos bens: comunhão parcial, comunhão universal, separação obrigatória, separação voluntária e ainda participação final nos aquestos (bens adquiridos na vigên cia do casamento). OBRIGATORIEDADE A obrigatoriedade da separação de bens foi tratada pelo Código Civil de 1916 (CC/16) em seu artigo 258, parágrafo único, inciso II. No novo código, o assunto é tratado no artigo 1.641. Para o regramento, o regime da separação de bens é obrigatório no casamento das pessoas que o contraírem com inobservância das causas suspensivas da celebração do casamento; da pessoa maior de 70 anos, (redação dada pela Lei 12.344 de dezembro de 2010. Antes dessa data a redação era a seguinte: do maior de sessenta e da maior de cinquenta anos) e de todos os que dependerem, para casar, de suprimento judicial. No Recurso Especial 646.259, o ministro LUIS FELIPE SALOMÃO, relator do recurso, entendeu que, para a união estável, à semelhança do que ocorre com o casamento, é obrigatório o regime de separação de bens de companheiro com idade superior a sessenta (60) anos. O recurso foi julgado em 2010, meses antes da alteração da redação do dispositivo que aumentou para setenta (70) o limite de idade dos cônjuges para ser estabelecido o regime de separação obrigatória. Com o falecimento do companheiro, que iniciou a união estável quando já contava com 64 anos, sua companheira pediu em juízo a meação dos bens. O juízo de primeiro grau afirmou que o regime aplicável no caso é o da separação obrigatória de bens e concedeu a ela apenas a partilha dos bens adquiridos durante a união estável, mediante comprovação do esforço comum. Inconformada com a decisão, a companheira interpôs recurso no Tribunal de Justiça do Rio Grande do Sul (TJRS). O TJRS reformou a decisão do primeiro grau e deu provimento ao recurso. Afirmou que não se aplica a` união estável o regime da separação obrigatória de bens previsto no artigo 258, parágrafo único, inciso II, do CC/16, "porque descabe a aplicação analógica de normas restritivas de direitos ou excepcionantes. E, ainda que se entendesse aplicável ao caso o regime da separ ação legal de bens, forçosa seria a aplicação da súmula 377 do Supremo Tribunal Federal (STF), que igualmente contempla a presunção do esforço comum na aquisição do patrimônio amealhado na constância da união". O espólio do companheiro apresentou recurso especial no STJ alegando ofensa ao artigo mencionado do CC/16 e argumentou que se aplicaria às uniões estáveis o regime obrigatório de separação de bens, quando um dos conviventes fosse sexagenário, como no caso. INSTITUTO MENOR Para o ministro LUIS FELIPE SALOMÃO, a partir da leitura conjunta das normas aplicáveis ao caso, especialmente do artigo 226, parágrafo 3o, da Const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2026-09-10T23:19:41.225Z</dcterms:created>
  <dcterms:modified xsi:type="dcterms:W3CDTF">2026-09-10T23:19:41.225Z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