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DOS COMPANHEIROS</w:t>
      </w:r>
    </w:p>
    <w:p>
      <w:r>
        <w:rPr>
          <w:i/>
          <w:iCs/>
          <w:color w:val="666666"/>
        </w:rPr>
        <w:t xml:space="preserve">UNIÃO ENTRE HOMOSSEXUAIS</w:t>
      </w:r>
    </w:p>
    <w:p/>
    <w:p>
      <w:r>
        <w:rPr>
          <w:b/>
          <w:bCs/>
        </w:rPr>
        <w:t xml:space="preserve">Recurso: </w:t>
      </w:r>
      <w:r>
        <w:t xml:space="preserve">Recurso Especial 646.259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OBRIGATORIEDADE — INSTITUTO MENOR - DISCREPÂNCIA - INTERPRETAÇÃO DA SÚMULA - ESFORÇO PRESUMIDO - ALCANCE DA CAUTELA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UNIÃO ESTÁVEL E A SEPARAÇÃO OBRIGATÓRIA DE BENS Quando um casal desenvolve uma relação afetiva contínua e duradoura, conhecida publicamente e estabelece a vontade de constituir uma família, essa relação pode ser reconhecida como união estável, de acordo com o Código Civil de 2002 (CC/02). Esse instituto também é legitimado pela Constituição Federal de 1988 em seu artigo 226, parágrafo 3o. Por ser uma união que em muito se assemelha ao casamento, a jurisprudência do Superior Tribunal de Justiça (STJ) tem aplicado às uniões estáveis, por extensão, alguns direitos previstos para o vínculo conjugal do casamento. Na união estável, o regime de bens a ser seguido pelo casal, assim como no casamento, vai dispor sobre a comunicação do patrimônio dos companheiros durante a relação e também ao término dela, na hipótese de dissolução do vínculo pela separação ou pela morte de um dos parceiros. Dessa forma, há reflexos na partilha e na sucessão dos bens, ou seja, na transmissão da herança. O artigo 1.725 do CC/02 estabelece que o regime a ser aplicado às relações patrimoniais do casal em união estável é o de comunhão parcial dos bens, salvo contrato escrito entre companheiros. Mas o que acontece no caso de um casal que adquire união estável quando um dos companheiros já possui idade superior a setenta anos? É justamente em virtude desse dispositivo que vários recursos chegam ao STJ, para que os ministros estabeleçam teses, divulguem o pensamento e a jurisprudência dessa Corte sobre o tema da separação obrigatória de bens e se esse instituto pode ou não ser estendido à união estável. Antes de conhecer alguns casos julgados no Tribunal, é válido lembrar que o direito de família brasileiro estabeleceu as seguintes possibilidades de regime de comunicação dos bens: comunhão parcial, comunhão universal, separação obrigatória, separação voluntária e ainda participação final nos aquestos (bens adquiridos na vigên cia do casamento). OBRIGATORIEDADE A obrigatoriedade da separação de bens foi tratada pelo Código Civil de 1916 (CC/16) em seu artigo 258, parágrafo único, inciso II. No novo código, o assunto é tratado no artigo 1.641. Para o regramento, o regime da separação de bens é obrigatório no casamento das pessoas que o contraírem com inobservância das causas suspensivas da celebração do casamento; da pessoa maior de 70 anos, (redação dada pela Lei 12.344 de dezembro de 2010. Antes dessa data a redação era a seguinte: do maior de sessenta e da maior de cinquenta anos) e de todos os que dependerem, para casar, de suprimento judicial. No Recurso Especial 646.259, o ministro LUIS FELIPE SALOMÃO, relator do recurso, entendeu que, para a união estável, à semelhança do que ocorre com o casamento, é obrigatório o regime de separação de bens de companheiro com idade superior a sessenta (60) anos. O recurso foi julgado em 2010, meses antes da alteração da redação do dispositivo que aumentou para setenta (70) o limite de idade dos cônjuges para ser estabelecido o regime de separação obrigatória. Com o falecimento do companheiro, que iniciou a união estável quando já contava com 64 anos, sua companheira pediu em juízo a meação dos bens. O juízo de primeiro grau afirmou que o regime aplicável no caso é o da separação obrigatória de bens e concedeu a ela apenas a partilha dos bens adquiridos durante a união estável, mediante comprovação do esforço comum. Inconformada com a decisão, a companheira interpôs recurso no Tribunal de Justiça do Rio Grande do Sul (TJRS). O TJRS reformou a decisão do primeiro grau e deu provimento ao recurso. Afirmou que não se aplica a` união estável o regime da separação obrigatória de bens previsto no artigo 258, parágrafo único, inciso II, do CC/16, "porque descabe a aplicação analógica de normas restritivas de direitos ou excepcionantes. E, ainda que se entendesse aplicável ao caso o regime da separ ação legal de bens, forçosa seria a aplicação da súmula 377 do Supremo Tribunal Federal (STF), que igualmente contempla a presunção do esforço comum na aquisição do patrimônio amealhado na constância da união". O espólio do companheiro apresentou recurso especial no STJ alegando ofensa ao artigo mencionado do CC/16 e argumentou que se aplicaria às uniões estáveis o regime obrigatório de separação de bens, quando um dos conviventes fosse sexagenário, como no caso. INSTITUTO MENOR Para o ministro LUIS FELIPE SALOMÃO, a partir da leitura conjunta das normas aplicáveis ao caso, especialmente do artigo 226, parágrafo 3o, da Const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2026-06-17T16:32:30.950Z</dcterms:created>
  <dcterms:modified xsi:type="dcterms:W3CDTF">2026-06-17T16:32:30.950Z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