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DIREITO DOS COMPANHEIROS</w:t>
      </w:r>
    </w:p>
    <w:p>
      <w:r>
        <w:rPr>
          <w:i/>
          <w:iCs/>
          <w:color w:val="666666"/>
        </w:rPr>
        <w:t xml:space="preserve">UNIÃO ENTRE HOMOSSEXUAIS</w:t>
      </w:r>
    </w:p>
    <w:p/>
    <w:p>
      <w:r>
        <w:rPr>
          <w:b/>
          <w:bCs/>
        </w:rPr>
        <w:t xml:space="preserve">Recurso: </w:t>
      </w:r>
      <w:r>
        <w:t xml:space="preserve">Recurso Especial 646.259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OBRIGATORIEDADE — INSTITUTO MENOR - DISCREPÂNCIA - INTERPRETAÇÃO DA SÚMULA - ESFORÇO PRESUMIDO - ALCANCE DA CAUTELA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UNIÃO ESTÁVEL E A SEPARAÇÃO OBRIGATÓRIA DE BENS Quando um casal desenvolve uma relação afetiva contínua e duradoura, conhecida publicamente e estabelece a vontade de constituir uma família, essa relação pode ser reconhecida como união estável, de acordo com o Código Civil de 2002 (CC/02). Esse instituto também é legitimado pela Constituição Federal de 1988 em seu artigo 226, parágrafo 3o. Por ser uma união que em muito se assemelha ao casamento, a jurisprudência do Superior Tribunal de Justiça (STJ) tem aplicado às uniões estáveis, por extensão, alguns direitos previstos para o vínculo conjugal do casamento. Na união estável, o regime de bens a ser seguido pelo casal, assim como no casamento, vai dispor sobre a comunicação do patrimônio dos companheiros durante a relação e também ao término dela, na hipótese de dissolução do vínculo pela separação ou pela morte de um dos parceiros. Dessa forma, há reflexos na partilha e na sucessão dos bens, ou seja, na transmissão da herança. O artigo 1.725 do CC/02 estabelece que o regime a ser aplicado às relações patrimoniais do casal em união estável é o de comunhão parcial dos bens, salvo contrato escrito entre companheiros. Mas o que acontece no caso de um casal que adquire união estável quando um dos companheiros já possui idade superior a setenta anos? É justamente em virtude desse dispositivo que vários recursos chegam ao STJ, para que os ministros estabeleçam teses, divulguem o pensamento e a jurisprudência dessa Corte sobre o tema da separação obrigatória de bens e se esse instituto pode ou não ser estendido à união estável. Antes de conhecer alguns casos julgados no Tribunal, é válido lembrar que o direito de família brasileiro estabeleceu as seguintes possibilidades de regime de comunicação dos bens: comunhão parcial, comunhão universal, separação obrigatória, separação voluntária e ainda participação final nos aquestos (bens adquiridos na vigên cia do casamento). OBRIGATORIEDADE A obrigatoriedade da separação de bens foi tratada pelo Código Civil de 1916 (CC/16) em seu artigo 258, parágrafo único, inciso II. No novo código, o assunto é tratado no artigo 1.641. Para o regramento, o regime da separação de bens é obrigatório no casamento das pessoas que o contraírem com inobservância das causas suspensivas da celebração do casamento; da pessoa maior de 70 anos, (redação dada pela Lei 12.344 de dezembro de 2010. Antes dessa data a redação era a seguinte: do maior de sessenta e da maior de cinquenta anos) e de todos os que dependerem, para casar, de suprimento judicial. No Recurso Especial 646.259, o ministro LUIS FELIPE SALOMÃO, relator do recurso, entendeu que, para a união estável, à semelhança do que ocorre com o casamento, é obrigatório o regime de separação de bens de companheiro com idade superior a sessenta (60) anos. O recurso foi julgado em 2010, meses antes da alteração da redação do dispositivo que aumentou para setenta (70) o limite de idade dos cônjuges para ser estabelecido o regime de separação obrigatória. Com o falecimento do companheiro, que iniciou a união estável quando já contava com 64 anos, sua companheira pediu em juízo a meação dos bens. O juízo de primeiro grau afirmou que o regime aplicável no caso é o da separação obrigatória de bens e concedeu a ela apenas a partilha dos bens adquiridos durante a união estável, mediante comprovação do esforço comum. Inconformada com a decisão, a companheira interpôs recurso no Tribunal de Justiça do Rio Grande do Sul (TJRS). O TJRS reformou a decisão do primeiro grau e deu provimento ao recurso. Afirmou que não se aplica a` união estável o regime da separação obrigatória de bens previsto no artigo 258, parágrafo único, inciso II, do CC/16, "porque descabe a aplicação analógica de normas restritivas de direitos ou excepcionantes. E, ainda que se entendesse aplicável ao caso o regime da separ ação legal de bens, forçosa seria a aplicação da súmula 377 do Supremo Tribunal Federal (STF), que igualmente contempla a presunção do esforço comum na aquisição do patrimônio amealhado na constância da união". O espólio do companheiro apresentou recurso especial no STJ alegando ofensa ao artigo mencionado do CC/16 e argumentou que se aplicaria às uniões estáveis o regime obrigatório de separação de bens, quando um dos conviventes fosse sexagenário, como no caso. INSTITUTO MENOR Para o ministro LUIS FELIPE SALOMÃO, a partir da leitura conjunta das normas aplicáveis ao caso, especialmente do artigo 226, parágrafo 3o, da Const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2026-10-26T04:16:02.374Z</dcterms:created>
  <dcterms:modified xsi:type="dcterms:W3CDTF">2026-10-26T04:16:02.374Z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