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USUCAPIÃO</w:t>
      </w:r>
    </w:p>
    <w:p/>
    <w:p>
      <w:r>
        <w:rPr>
          <w:b/>
          <w:bCs/>
        </w:rPr>
        <w:t xml:space="preserve">Recurso: </w:t>
      </w:r>
      <w:r>
        <w:t xml:space="preserve">RE -74.355</w:t>
      </w:r>
    </w:p>
    <w:p/>
    <w:p>
      <w:r>
        <w:t xml:space="preserve">A EQUIPARAÇÃO DE EXTRANUMERÁRIO A FUNCIONÁRIO EFETIVO, DETERMINADA PELA LEI Nº 2.284, DE 09.08.54, NÃO ENVOLVE REESTRUTURAÇÃO, NÃO COMPREENDENDO, PORTANTO, OS VENCIMENTOS.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VELA A LEI 6.334/76. A SÚMULA 14 FOI REVISTA NO JULGAMENTO DO RE-74.355, RTJ-70/147 E CANCELADA NO DO RE-74.486, RTJ-68/463. NÃO É ADMISSÍVEL, POR ATO ADMINISTRATIVO, RESTRINGIR, EM RAZÃO DA IDADE INSCRIÇÃO EM CONCURSO PARA CARGO PÚBLICO.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2026-09-10T22:27:00.687Z</dcterms:created>
  <dcterms:modified xsi:type="dcterms:W3CDTF">2026-09-10T22:27:00.687Z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