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/>
    <w:p>
      <w:r>
        <w:t xml:space="preserve">É LEGÍTIMA A INCIDÊNCIA DO IMPOSTO DE TRANSMISSÃO "INTER VIVOS" SOBRE O VALOR DO IMÓVEL AO TEMPO DA ALIENAÇÃO, E NÃO DA PROMESSA, NA CONFORMIDADE DA LEGISLAÇÃO LOCAL.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DEVIDA A MULTA PREVISTA NO ARTIGO 15, PARÁGRAFO 6º, DA LEI Nº 1.300, DE 28 .12.1950, AINDA QUE A DESOCUPAÇÃO DO IMÓVEL TENHA RESULTADO DA NOTIFICAÇÃO E NÃO HAJA SIDO PROPOSTA A AÇÃO DE DESPEJO.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2026-09-10T22:36:26.211Z</dcterms:created>
  <dcterms:modified xsi:type="dcterms:W3CDTF">2026-09-10T22:36:26.211Z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