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/>
    <w:p>
      <w:r>
        <w:t xml:space="preserve">NA CONFORMIDADE DA LEGISLAÇÃO LOCAL, É LEGÍTIMA A COBRANÇA DE TAXA DE CALÇAMENTO.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TAXA DE DESPACHO ADUANEIRO (ART. 66, DA LEI Nº 3.244, DE 14.08.1957) CONTINUA A SER EXIGÍVEL APÓS O DECRETO LEGISLATIVO Nº 14, DE 25.08.1960, QUE APROVOU ALTERAÇÕES INTRODUZIDAS NO ACORDO GERAL SOBRE TARIFAS ADUANEIRAS E COMÉRCIO (GATT). A TAXA DE DESPACHO ADUANEIRO (ART. 66 DA LEI Nº 3.244, DE 14.08.1957) CONTINUA A SER EXIGÍVEL APÓS O DECRETO LEGISLATIVO Nº 14, DE 25.08.1960, MESMO PARA AS MERCADORIAS INCLUÍDAS NA VIGENTE LISTA III DO ACORDO GERAL SOBRE TARIFAS ADUANEIRAS E COMÉRCIO (GATT).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2026-10-26T02:08:49.782Z</dcterms:created>
  <dcterms:modified xsi:type="dcterms:W3CDTF">2026-10-26T02:08:49.782Z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