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/>
    <w:p>
      <w:r>
        <w:t xml:space="preserve">NA CONFORMIDADE DA LEGISLAÇÃO LOCAL, É LEGÍTIMA A COBRANÇA DE TAXA DE CALÇAMENTO.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TAXA DE DESPACHO ADUANEIRO (ART. 66, DA LEI Nº 3.244, DE 14.08.1957) CONTINUA A SER EXIGÍVEL APÓS O DECRETO LEGISLATIVO Nº 14, DE 25.08.1960, QUE APROVOU ALTERAÇÕES INTRODUZIDAS NO ACORDO GERAL SOBRE TARIFAS ADUANEIRAS E COMÉRCIO (GATT). A TAXA DE DESPACHO ADUANEIRO (ART. 66 DA LEI Nº 3.244, DE 14.08.1957) CONTINUA A SER EXIGÍVEL APÓS O DECRETO LEGISLATIVO Nº 14, DE 25.08.1960, MESMO PARA AS MERCADORIAS INCLUÍDAS NA VIGENTE LISTA III DO ACORDO GERAL SOBRE TARIFAS ADUANEIRAS E COMÉRCIO (GATT).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2026-06-17T14:03:15.154Z</dcterms:created>
  <dcterms:modified xsi:type="dcterms:W3CDTF">2026-06-17T14:03:15.154Z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