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REPOUSO REMUNERADO</w:t>
      </w:r>
    </w:p>
    <w:p>
      <w:r>
        <w:rPr>
          <w:i/>
          <w:iCs/>
          <w:color w:val="666666"/>
        </w:rPr>
        <w:t xml:space="preserve">CONCESSIONÁRIA DE SERVIÇO PÚBLICO</w:t>
      </w:r>
    </w:p>
    <w:p/>
    <w:p/>
    <w:p>
      <w:r>
        <w:t xml:space="preserve">O AGRAVO NO AUTO DO PROCESSO DEVE SER APRECIADO, NO JULGAMENTO DA APELAÇÃO AINDA QUE O AGRAVANTE NÃO TENHA APELADO.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 CASO DE DUPLA APOSENTADORIA OS PROVENTOS A CARGO DO IAPFESP NÃO SÃO EQUIPARÁVEIS AOS PAGOS PELO TESOURO NACIONAL, MAS CALCULADOS À BASE DA MÉDIA SALARIAL NOS ÚLTIMOS DOZE MESES DE SERVIÇO.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2026-10-16T16:11:16.304Z</dcterms:created>
  <dcterms:modified xsi:type="dcterms:W3CDTF">2026-10-16T16:11:16.304Z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