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EXTRAORDINÁRIO</w:t>
      </w:r>
    </w:p>
    <w:p>
      <w:r>
        <w:rPr>
          <w:i/>
          <w:iCs/>
          <w:color w:val="666666"/>
        </w:rPr>
        <w:t xml:space="preserve">DIVERGÊNCIA JURISPRUDENCIAL</w:t>
      </w:r>
    </w:p>
    <w:p/>
    <w:p/>
    <w:p>
      <w:r>
        <w:t xml:space="preserve">A VIDA EM COMUM SOB O MESMO TETO, "MORE UXÓRIO", NÃO É INDISPENSÁVEL À CARACTERIZAÇÃO DO CONCUBINATO.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PRESCRIÇÃO EM FAVOR DA FAZENDA PÚBLICA RECOMEÇA A CORRER, POR DOIS ANOS E MEIO, A PARTIR DO ATO ININTERRUPTIVO, MAS NÃO FICA REDUZIDA AQUÉM DE CINCO ANOS, EMBORA O TITULAR DO DIREITO A INTERROMPA DURANTE A PRIMEIRA METADE DO PRAZO.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2026-10-26T02:37:55.429Z</dcterms:created>
  <dcterms:modified xsi:type="dcterms:W3CDTF">2026-10-26T02:37:55.429Z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