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DIVERGÊNCIA JURISPRUDENCIAL</w:t>
      </w:r>
    </w:p>
    <w:p/>
    <w:p/>
    <w:p>
      <w:r>
        <w:t xml:space="preserve">PARA REQUERER REVISÃO CRIMINAL, O CONDENADO NÃO É OBRIGADO A RECOLHER-SE À PRISÃO.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COMETIDO O CRIME DURANTE O EXERCÍCIO FUNCIONAL, PREVALECE A COMPETÊNCIA ESPECIAL POR PRERROGATIVA DE FUNÇÃO, AINDA QUE O INQUÉRITO OU A AÇÃO PENAL SEJAM INICIADOS APÓS A CESSAÇÃO DAQUELE EXERCÍCIO.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2026-10-26T03:48:46.518Z</dcterms:created>
  <dcterms:modified xsi:type="dcterms:W3CDTF">2026-10-26T03:48:46.518Z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