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DIVERGÊNCIA JURISPRUDENCIAL</w:t>
      </w:r>
    </w:p>
    <w:p/>
    <w:p/>
    <w:p>
      <w:r>
        <w:t xml:space="preserve">O LOCATÁRIO AUTORIZADO A CEDER A LOCAÇÃO PODE SUBLOCAR O IMÓVEL.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COMPROMISSO DE COMPRA E VENDA COM CLÁUSULA DE ARREPENDIMENTO, A DEVOLUÇÃO DO SINAL, POR QUEM O DEU, OU A SUA RESTITUIÇÃO EM DOBRO, POR QUEM O RECEBEU, EXCLUI INDENIZAÇÃO MAIOR, A TÍTULO DE PERDAS E DANOS, SALVO OS JUROS MORATÓRIOS E OS ENCARGOS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2026-10-26T03:43:39.318Z</dcterms:created>
  <dcterms:modified xsi:type="dcterms:W3CDTF">2026-10-26T03:43:39.318Z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