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DIVERGÊNCIA JURISPRUDENCIAL</w:t>
      </w:r>
    </w:p>
    <w:p/>
    <w:p/>
    <w:p>
      <w:r>
        <w:t xml:space="preserve">A MULTA DE CEM POR CENTO, PARA O CASO DE MERCADORIA IMPORTADA IRREGULARMENTE, É CALCULADA À BASE DO CUSTO DE CÂMBIO DA CATEGORIA CORRESPONDENTE.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IMPOSTO DE TRANSMISSÃO INTER VIVOS NÃO INCIDE SOBRE A CONSTRUÇÃO, OU PARTE DELA, REALIZADA, INEQUIVOCAMENTE PELO PROMITENTE COMPRADOR, MAS SOBRE O VALOR DO QUE TIVER SIDO CONSTRUÍDO ANTES DA PROMESSA DE VENDA.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2026-07-28T07:00:57.032Z</dcterms:created>
  <dcterms:modified xsi:type="dcterms:W3CDTF">2026-07-28T07:00:57.032Z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