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DIVERGÊNCIA JURISPRUDENCIAL</w:t>
      </w:r>
    </w:p>
    <w:p/>
    <w:p/>
    <w:p>
      <w:r>
        <w:t xml:space="preserve">A CONDENAÇÃO DO AUTOR EM HONORÁRIOS DE ADVOGADO, COM FUNDAMENTO NO ARTIGO 64 DO CÓDIGO DE PROCESSO CIVIL, DEPENDE DE RECONVENÇÃO.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ADMINISTRAÇÃO PODE ANULAR SEUS PRÓPRIOS ATOS, QUANDO EIVADOS DE VÍCIOS QUE OS TORNAM ILEGAIS, PORQUE DELES NÃO SE ORIGINAM DIREITOS; OU REVOGÁ-LOS, POR MOTIVO DE CONVENIÊNCIA OU OPORTUNIDADE, RESPEITADOS OS DIREITOS ADQUIRIDOS, E RESSALVADA, EM TODOS OS CASOS, A APRECIAÇÃO JUDICIAL.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2026-10-26T02:41:08.602Z</dcterms:created>
  <dcterms:modified xsi:type="dcterms:W3CDTF">2026-10-26T02:41:08.602Z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