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DIVERGÊNCIA JURISPRUDENCIAL</w:t>
      </w:r>
    </w:p>
    <w:p/>
    <w:p/>
    <w:p>
      <w:r>
        <w:t xml:space="preserve">A EXIGÊNCIA DE TRANSPORTE EM NAVIO DE BANDEIRA BRASILEIRA, PARA EFEITO DE ISENÇÃO TRIBUTÁRIA, LEGITIMOU-SE COM O ADVENTO DO DECRETO-LEI Nº 666, DE 02.07.1969.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CONSTITUCIONAL A RESOLUÇÃO Nº 640 DE 1969, DO CONSELHO DE POLÍTICA ADUANEIRA, QUE REDUZIU A ALÍQUOTA DO IMPOSTO DE IMPORTAÇÃO PARA SODA CÁUSTICA, DESTINADA A ZONAS DE DIFÍCIL DISTRIBUIÇÃO E ABASTECIMENTO.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2026-07-27T23:57:34.840Z</dcterms:created>
  <dcterms:modified xsi:type="dcterms:W3CDTF">2026-07-27T23:57:34.840Z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