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DIVERGÊNCIA JURISPRUDENCIAL</w:t>
      </w:r>
    </w:p>
    <w:p/>
    <w:p/>
    <w:p>
      <w:r>
        <w:t xml:space="preserve">CABE AÇÃO EXECUTIVA CONTRA O EMITENTE E SEUS AVALISTAS, AINDA QUE NÃO APRESENTADO O CHEQUE AO SACADO NO PRAZO LEGAL, DESDE QUE NÃO PRESCRITA A AÇÃO CAMBIÁRIA.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ARTIGOS 3º, II E 55 DA LEI COMPLEMENTAR N.º 40/41 (LEI ORGÂNICA DO MINISTÉRIO PÚBLICO) NÃO REVOGARAM A LEGISLAÇÃO ANTERIOR QUA ATRIBUI A INICIATIVA DA AÇÃO PENAL PÚBLICA, NO PROCESSO SUMÁRIO, AO JUIZ OU À AUTORIDADE POLICIAL, MEDIANTE PORTARIA OU AUTO DE PRISÃO EM FLAGRANTE.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2026-07-27T23:50:54.662Z</dcterms:created>
  <dcterms:modified xsi:type="dcterms:W3CDTF">2026-07-27T23:50:54.662Z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