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DIVERGÊNCIA JURISPRUDENCIAL</w:t>
      </w:r>
    </w:p>
    <w:p/>
    <w:p/>
    <w:p>
      <w:r>
        <w:t xml:space="preserve">CABE AO PRESIDENTE DO TRIBUNAL DE ORIGEM DECIDIR O PEDIDO DE MEDIDA CAUTELAR EM RECURSO EXTRAORDINÁRIO AINDA PENDENTE DO SEU JUÍZO DE 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RECURSO EXTRAORDINÁRIO POR CONTRARIEDADE AO PRINCÍPIO CONSTITUCIONAL DA LEGALIDADE, QUANDO A SUA VERIFICAÇÃO PRESSUPONHA REVER A INTERPRETAÇÃO DADA A NORMAS INFRACONSTITUCIONAIS PELA DECISÃO RECORRIDA.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2026-07-28T00:32:19.737Z</dcterms:created>
  <dcterms:modified xsi:type="dcterms:W3CDTF">2026-07-28T00:32:19.737Z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