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ATOS DO TRIBUNAL DE CONTAS DA UNIÃO</w:t>
      </w:r>
    </w:p>
    <w:p/>
    <w:p/>
    <w:p>
      <w:r>
        <w:t xml:space="preserve">A GARANTIA DA IRRETROATIVIDADE DA LEI, PREVISTA NO ART. 5º, XXXVI, DA CONSTITUIÇÃO DA REPÚBLICA, NÃO ÉINVOCÁVEL PELA ENTIDADE ESTATAL QUE A TENHA EDITADO.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EXCEÇÃO PREVISTA NO ART. 100, CAPUT, DA CONSTITUIÇÃO, EM FAVOR DOS CRÉDITOS DE NATUREZA ALIMENTÍCIA, NÃO DISPENSA A EXPEDIÇÃO DE PRECATÓRIO, LIMITANDO-SE A ISENTÁ-LOS DA OBSERVÂNCIA DA ORDEM CRONOLÓGICA DOS PRECATÓRIOS DECORRENTES DE CONDENAÇÕES DE OUTRA NATUREZA.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2026-07-28T04:23:22.854Z</dcterms:created>
  <dcterms:modified xsi:type="dcterms:W3CDTF">2026-07-28T04:23:22.854Z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