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ATOS DO TRIBUNAL DE CONTAS DA UNIÃO</w:t>
      </w:r>
    </w:p>
    <w:p/>
    <w:p/>
    <w:p>
      <w:r>
        <w:t xml:space="preserve">OS §§ 1º E 3º DO ART. 9º DO DL 406/68 FORAM RECEBIDOS PELA CONSTITUIÇÃO.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INCONSTITUCIONAL O INCISO V DO ART. 1º DA LEI 8.033/90, QUE INSTITUIU A INCIDÊNCIA DO IMPOSTO NAS OPERAÇÕES DE CRÉDITO, CÂMBIO E SEGUROS - IOF SOBRE SAQUES EFETUADOS EM CADERNETA DE POUPANÇA.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2026-10-26T02:40:02.164Z</dcterms:created>
  <dcterms:modified xsi:type="dcterms:W3CDTF">2026-10-26T02:40:02.164Z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